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6A2709" w:rsidRDefault="00FC5991" w:rsidP="00A61132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A61132" w:rsidRPr="00A61132">
        <w:rPr>
          <w:rFonts w:cstheme="minorHAnsi"/>
          <w:color w:val="000000" w:themeColor="text1"/>
        </w:rPr>
        <w:t>CONTRATAÇÃO DE PESSOA JURIDICA PARA A PRESTAÇÃO DE SERVIÇOS DE MÃO-DE-OBRA DE SERVIÇO DE GUINCHO E MANUTENÇÃO DE BOMBAS NAS LOCALIDADES DO SAAE ALVORADA DO SUL</w:t>
      </w:r>
      <w:r w:rsidR="005710C6" w:rsidRPr="00F2718F">
        <w:rPr>
          <w:rFonts w:cstheme="minorHAnsi"/>
          <w:color w:val="000000" w:themeColor="text1"/>
        </w:rPr>
        <w:t>.</w:t>
      </w:r>
    </w:p>
    <w:p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83353C">
        <w:rPr>
          <w:rFonts w:ascii="Cambria" w:eastAsia="Cambria" w:hAnsi="Cambria" w:cs="Cambria"/>
        </w:rPr>
        <w:t>19 jun</w:t>
      </w:r>
      <w:r w:rsidR="005710C6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a </w:t>
      </w:r>
      <w:r w:rsidR="00A61132">
        <w:rPr>
          <w:rFonts w:ascii="Cambria" w:eastAsia="Cambria" w:hAnsi="Cambria" w:cs="Cambria"/>
        </w:rPr>
        <w:t>29</w:t>
      </w:r>
      <w:r w:rsidRPr="006609AB">
        <w:rPr>
          <w:rFonts w:ascii="Cambria" w:eastAsia="Cambria" w:hAnsi="Cambria" w:cs="Cambria"/>
        </w:rPr>
        <w:t xml:space="preserve"> de </w:t>
      </w:r>
      <w:r w:rsidR="005710C6">
        <w:rPr>
          <w:rFonts w:ascii="Cambria" w:eastAsia="Cambria" w:hAnsi="Cambria" w:cs="Cambria"/>
        </w:rPr>
        <w:t>jul</w:t>
      </w:r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A61132">
        <w:rPr>
          <w:rFonts w:ascii="Cambria" w:eastAsia="Cambria" w:hAnsi="Cambria" w:cs="Cambria"/>
        </w:rPr>
        <w:t xml:space="preserve"> )Média</w:t>
      </w:r>
      <w:proofErr w:type="gramEnd"/>
      <w:r w:rsidR="00A61132">
        <w:rPr>
          <w:rFonts w:ascii="Cambria" w:eastAsia="Cambria" w:hAnsi="Cambria" w:cs="Cambria"/>
        </w:rPr>
        <w:tab/>
        <w:t>( )Mediana</w:t>
      </w:r>
      <w:r w:rsidR="00A61132">
        <w:rPr>
          <w:rFonts w:ascii="Cambria" w:eastAsia="Cambria" w:hAnsi="Cambria" w:cs="Cambria"/>
        </w:rPr>
        <w:tab/>
        <w:t>(x</w:t>
      </w:r>
      <w:r w:rsidR="00FC5991" w:rsidRPr="006609AB">
        <w:rPr>
          <w:rFonts w:ascii="Cambria" w:eastAsia="Cambria" w:hAnsi="Cambria" w:cs="Cambria"/>
        </w:rPr>
        <w:t>)Menor Preço       (</w:t>
      </w:r>
      <w:r w:rsidR="005710C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</w:t>
      </w:r>
      <w:r w:rsidR="00D968F3">
        <w:rPr>
          <w:rFonts w:ascii="Cambria" w:eastAsia="Cambria" w:hAnsi="Cambria" w:cs="Cambria"/>
        </w:rPr>
        <w:t>de contratações passada</w:t>
      </w:r>
      <w:r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A61132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A61132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Reforma e manutenção em bomba submersa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 por item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A6113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 w:rsidR="00A61132">
              <w:rPr>
                <w:rFonts w:ascii="Cambria" w:eastAsia="Cambria" w:hAnsi="Cambria" w:cs="Cambria"/>
              </w:rPr>
              <w:t>americo</w:t>
            </w:r>
            <w:proofErr w:type="spellEnd"/>
            <w:r w:rsidR="00A61132">
              <w:rPr>
                <w:rFonts w:ascii="Cambria" w:eastAsia="Cambria" w:hAnsi="Cambria" w:cs="Cambria"/>
              </w:rPr>
              <w:t xml:space="preserve"> brasiliense </w:t>
            </w:r>
            <w:proofErr w:type="spellStart"/>
            <w:r w:rsidR="00A61132">
              <w:rPr>
                <w:rFonts w:ascii="Cambria" w:eastAsia="Cambria" w:hAnsi="Cambria" w:cs="Cambria"/>
              </w:rPr>
              <w:t>sp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A61132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 00021/2024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A61132">
              <w:rPr>
                <w:rFonts w:ascii="Cambria" w:eastAsia="Cambria" w:hAnsi="Cambria" w:cs="Cambria"/>
              </w:rPr>
              <w:t>817.864,7736</w:t>
            </w:r>
          </w:p>
        </w:tc>
      </w:tr>
      <w:tr w:rsidR="00462E1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A61132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Reforma bomba submersa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 por item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A61132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mato castelhano </w:t>
            </w:r>
            <w:proofErr w:type="spellStart"/>
            <w:r>
              <w:rPr>
                <w:rFonts w:ascii="Cambria" w:eastAsia="Cambria" w:hAnsi="Cambria" w:cs="Cambria"/>
              </w:rPr>
              <w:t>rs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</w:t>
            </w:r>
            <w:r w:rsidR="00A61132">
              <w:rPr>
                <w:rFonts w:ascii="Cambria" w:eastAsia="Cambria" w:hAnsi="Cambria" w:cs="Cambria"/>
              </w:rPr>
              <w:t>76/2024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A61132">
              <w:rPr>
                <w:rFonts w:ascii="Cambria" w:eastAsia="Cambria" w:hAnsi="Cambria" w:cs="Cambria"/>
              </w:rPr>
              <w:t>5.730,15</w:t>
            </w:r>
          </w:p>
        </w:tc>
      </w:tr>
      <w:tr w:rsidR="00B34269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A61132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Instalação/ manutenção equipamentos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 por item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A61132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Universidade tecnológica federal do </w:t>
            </w:r>
            <w:proofErr w:type="spellStart"/>
            <w:r>
              <w:rPr>
                <w:rFonts w:ascii="Cambria" w:eastAsia="Cambria" w:hAnsi="Cambria" w:cs="Cambria"/>
              </w:rPr>
              <w:t>parana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A61132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 25/2024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A61132">
              <w:rPr>
                <w:rFonts w:ascii="Cambria" w:eastAsia="Cambria" w:hAnsi="Cambria" w:cs="Cambria"/>
              </w:rPr>
              <w:t>9580,00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lastRenderedPageBreak/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A61132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="00FC5991" w:rsidRPr="006609AB">
        <w:rPr>
          <w:rFonts w:ascii="Cambria" w:eastAsia="Cambria" w:hAnsi="Cambria" w:cs="Cambria"/>
        </w:rPr>
        <w:t xml:space="preserve">) IV - pesquisa com três fornecedores, desde que as datas das pesquisas não se </w:t>
      </w:r>
      <w:proofErr w:type="gramStart"/>
      <w:r w:rsidR="00FC5991" w:rsidRPr="006609AB">
        <w:rPr>
          <w:rFonts w:ascii="Cambria" w:eastAsia="Cambria" w:hAnsi="Cambria" w:cs="Cambria"/>
        </w:rPr>
        <w:t>diferenciam  em</w:t>
      </w:r>
      <w:proofErr w:type="gramEnd"/>
      <w:r w:rsidR="00FC5991" w:rsidRPr="006609AB">
        <w:rPr>
          <w:rFonts w:ascii="Cambria" w:eastAsia="Cambria" w:hAnsi="Cambria" w:cs="Cambria"/>
        </w:rPr>
        <w:t xml:space="preserve">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A61132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SERVIÇOS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733AC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43.686.778/0001-09 S.S HIDRO SOLUCOES LTDA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83353C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13 de julho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SERVIÇOS 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34.968.877/0001-92 PADUA, CONRADO &amp; CIA LTDA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15 de julho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SERVIÇOS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17.864.676/0001-26 HIDROLONDRI POCOS ARTESIANOS LTDA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BB34D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 de junho de 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132" w:rsidRPr="006609AB" w:rsidRDefault="00BB34D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lastRenderedPageBreak/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AD7910">
        <w:rPr>
          <w:rFonts w:ascii="Cambria" w:eastAsia="Cambria" w:hAnsi="Cambria" w:cs="Cambria"/>
          <w:b/>
        </w:rPr>
        <w:t>Justificativa da escolha dos fornecedores</w:t>
      </w:r>
      <w:r w:rsidRPr="006609AB">
        <w:rPr>
          <w:rFonts w:ascii="Cambria" w:eastAsia="Cambria" w:hAnsi="Cambria" w:cs="Cambria"/>
        </w:rPr>
        <w:t>:</w:t>
      </w:r>
    </w:p>
    <w:p w:rsidR="00BB34D0" w:rsidRPr="006609AB" w:rsidRDefault="00BB34D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Os fornecedores foram enviados e-mails para as empresas que prestam esses tipos de serviços nas proximidades do município de Alvorada do Sul-PR, onde visto que é serviço que há de grande emergência quando a solicitação onde o município não possui caminhão guincho para a execução do serviço, precisando ser locado toda vez que há manutenção em poços, onde o mesmo se estiver com falhas técnicas há falta de agua na localidade aonde a bo</w:t>
      </w:r>
      <w:bookmarkStart w:id="0" w:name="_GoBack"/>
      <w:bookmarkEnd w:id="0"/>
      <w:r>
        <w:rPr>
          <w:rFonts w:ascii="Cambria" w:eastAsia="Cambria" w:hAnsi="Cambria" w:cs="Cambria"/>
        </w:rPr>
        <w:t xml:space="preserve">mba </w:t>
      </w:r>
      <w:proofErr w:type="spellStart"/>
      <w:r>
        <w:rPr>
          <w:rFonts w:ascii="Cambria" w:eastAsia="Cambria" w:hAnsi="Cambria" w:cs="Cambria"/>
        </w:rPr>
        <w:t>esta</w:t>
      </w:r>
      <w:proofErr w:type="spellEnd"/>
      <w:r>
        <w:rPr>
          <w:rFonts w:ascii="Cambria" w:eastAsia="Cambria" w:hAnsi="Cambria" w:cs="Cambria"/>
        </w:rPr>
        <w:t>.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7B5D14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</w:t>
      </w:r>
      <w:r w:rsidR="007B5D14">
        <w:rPr>
          <w:rFonts w:ascii="Cambria" w:eastAsia="Cambria" w:hAnsi="Cambria" w:cs="Cambria"/>
        </w:rPr>
        <w:t xml:space="preserve">através dos orçamentos pego via </w:t>
      </w:r>
      <w:proofErr w:type="spellStart"/>
      <w:r w:rsidR="007B5D14">
        <w:rPr>
          <w:rFonts w:ascii="Cambria" w:eastAsia="Cambria" w:hAnsi="Cambria" w:cs="Cambria"/>
        </w:rPr>
        <w:t>email</w:t>
      </w:r>
      <w:proofErr w:type="spellEnd"/>
      <w:r w:rsidR="007B5D14">
        <w:rPr>
          <w:rFonts w:ascii="Cambria" w:eastAsia="Cambria" w:hAnsi="Cambria" w:cs="Cambria"/>
        </w:rPr>
        <w:t xml:space="preserve"> tendo em vista que foi especificado as bombas e as localidades onde, para ter um </w:t>
      </w:r>
      <w:proofErr w:type="spellStart"/>
      <w:r w:rsidR="007B5D14">
        <w:rPr>
          <w:rFonts w:ascii="Cambria" w:eastAsia="Cambria" w:hAnsi="Cambria" w:cs="Cambria"/>
        </w:rPr>
        <w:t>preco</w:t>
      </w:r>
      <w:proofErr w:type="spellEnd"/>
      <w:r w:rsidR="007B5D14">
        <w:rPr>
          <w:rFonts w:ascii="Cambria" w:eastAsia="Cambria" w:hAnsi="Cambria" w:cs="Cambria"/>
        </w:rPr>
        <w:t xml:space="preserve"> pego através do site do portal nacional de compras </w:t>
      </w:r>
      <w:proofErr w:type="spellStart"/>
      <w:r w:rsidR="007B5D14">
        <w:rPr>
          <w:rFonts w:ascii="Cambria" w:eastAsia="Cambria" w:hAnsi="Cambria" w:cs="Cambria"/>
        </w:rPr>
        <w:t>publicas</w:t>
      </w:r>
      <w:proofErr w:type="spellEnd"/>
      <w:r w:rsidR="007B5D14">
        <w:rPr>
          <w:rFonts w:ascii="Cambria" w:eastAsia="Cambria" w:hAnsi="Cambria" w:cs="Cambria"/>
        </w:rPr>
        <w:t xml:space="preserve"> não obteria um resultado tão preciso, senso assim, poderia ocorrer de uma licitação deserta onde além das despesas feitas para a montagem, como tempo e publicação que é pago, também atrasaria ainda mais o processo de encaminhar e deixaria o </w:t>
      </w:r>
      <w:proofErr w:type="spellStart"/>
      <w:r w:rsidR="007B5D14">
        <w:rPr>
          <w:rFonts w:ascii="Cambria" w:eastAsia="Cambria" w:hAnsi="Cambria" w:cs="Cambria"/>
        </w:rPr>
        <w:t>saae</w:t>
      </w:r>
      <w:proofErr w:type="spellEnd"/>
      <w:r w:rsidR="007B5D14">
        <w:rPr>
          <w:rFonts w:ascii="Cambria" w:eastAsia="Cambria" w:hAnsi="Cambria" w:cs="Cambria"/>
        </w:rPr>
        <w:t xml:space="preserve"> sem o tipo de serviço vigente onde a qualquer momento podendo precisar dos serviços em questões e não podendo efetuar por falta de processo licitatório, encarretando vários problemas ao município e aos consumidores da região que pode ser afetada</w:t>
      </w:r>
      <w:r w:rsidR="00725505">
        <w:rPr>
          <w:rFonts w:ascii="Cambria" w:eastAsia="Cambria" w:hAnsi="Cambria" w:cs="Cambria"/>
        </w:rPr>
        <w:t xml:space="preserve">. Para agregar mais o valor dos orçamentos solicitados, em anexo também </w:t>
      </w:r>
      <w:proofErr w:type="spellStart"/>
      <w:r w:rsidR="00725505">
        <w:rPr>
          <w:rFonts w:ascii="Cambria" w:eastAsia="Cambria" w:hAnsi="Cambria" w:cs="Cambria"/>
        </w:rPr>
        <w:t>ira</w:t>
      </w:r>
      <w:proofErr w:type="spellEnd"/>
      <w:r w:rsidR="00725505">
        <w:rPr>
          <w:rFonts w:ascii="Cambria" w:eastAsia="Cambria" w:hAnsi="Cambria" w:cs="Cambria"/>
        </w:rPr>
        <w:t xml:space="preserve"> conter notas fiscais emitidas de uma empresa que deu orçamento que prestou serviço para o </w:t>
      </w:r>
      <w:proofErr w:type="spellStart"/>
      <w:r w:rsidR="00725505">
        <w:rPr>
          <w:rFonts w:ascii="Cambria" w:eastAsia="Cambria" w:hAnsi="Cambria" w:cs="Cambria"/>
        </w:rPr>
        <w:t>saae</w:t>
      </w:r>
      <w:proofErr w:type="spellEnd"/>
      <w:r w:rsidR="00725505">
        <w:rPr>
          <w:rFonts w:ascii="Cambria" w:eastAsia="Cambria" w:hAnsi="Cambria" w:cs="Cambria"/>
        </w:rPr>
        <w:t xml:space="preserve"> no ano de 2024</w:t>
      </w:r>
      <w:r w:rsidR="007B5D14">
        <w:rPr>
          <w:rFonts w:ascii="Cambria" w:eastAsia="Cambria" w:hAnsi="Cambria" w:cs="Cambria"/>
        </w:rPr>
        <w:t>.</w:t>
      </w:r>
    </w:p>
    <w:p w:rsidR="00A407AA" w:rsidRDefault="007B5D14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Dando </w:t>
      </w:r>
      <w:proofErr w:type="spellStart"/>
      <w:r>
        <w:rPr>
          <w:rFonts w:ascii="Cambria" w:eastAsia="Cambria" w:hAnsi="Cambria" w:cs="Cambria"/>
        </w:rPr>
        <w:t>continuidadem</w:t>
      </w:r>
      <w:proofErr w:type="spellEnd"/>
      <w:r>
        <w:rPr>
          <w:rFonts w:ascii="Cambria" w:eastAsia="Cambria" w:hAnsi="Cambria" w:cs="Cambria"/>
        </w:rPr>
        <w:t xml:space="preserve"> foi pego o menor valor de cada item dando um montante de</w:t>
      </w:r>
      <w:r w:rsidR="001D70A2">
        <w:rPr>
          <w:rFonts w:ascii="Cambria" w:eastAsia="Cambria" w:hAnsi="Cambria" w:cs="Cambria"/>
        </w:rPr>
        <w:t xml:space="preserve"> R$</w:t>
      </w:r>
      <w:r>
        <w:rPr>
          <w:rFonts w:ascii="Cambria" w:eastAsia="Cambria" w:hAnsi="Cambria" w:cs="Cambria"/>
        </w:rPr>
        <w:t>847.839,48</w:t>
      </w:r>
      <w:r w:rsidR="00F14674">
        <w:rPr>
          <w:rFonts w:ascii="Cambria" w:eastAsia="Cambria" w:hAnsi="Cambria" w:cs="Cambria"/>
        </w:rPr>
        <w:t>(</w:t>
      </w:r>
      <w:r w:rsidR="00725505">
        <w:rPr>
          <w:rFonts w:ascii="Cambria" w:eastAsia="Cambria" w:hAnsi="Cambria" w:cs="Cambria"/>
        </w:rPr>
        <w:t>oitocentos e quarenta e sete mil oitocentos e trinta e nove reais e quarenta e oito centavos</w:t>
      </w:r>
      <w:r w:rsidR="001D70A2">
        <w:rPr>
          <w:rFonts w:ascii="Cambria" w:eastAsia="Cambria" w:hAnsi="Cambria" w:cs="Cambria"/>
        </w:rPr>
        <w:t>)</w:t>
      </w:r>
      <w:r w:rsidR="00A407AA">
        <w:rPr>
          <w:rFonts w:ascii="Cambria" w:eastAsia="Cambria" w:hAnsi="Cambria" w:cs="Cambria"/>
        </w:rPr>
        <w:t>.</w:t>
      </w:r>
    </w:p>
    <w:p w:rsidR="00725505" w:rsidRDefault="00725505" w:rsidP="00FC5991">
      <w:pPr>
        <w:rPr>
          <w:rFonts w:ascii="Cambria" w:eastAsia="Cambria" w:hAnsi="Cambria" w:cs="Cambria"/>
        </w:rPr>
      </w:pP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AD7910">
        <w:rPr>
          <w:rFonts w:ascii="Cambria" w:eastAsia="Cambria" w:hAnsi="Cambria" w:cs="Cambria"/>
        </w:rPr>
        <w:t>EDITAL N° 00021/2024; ATO QUE AUTORIZA A CONTRATAÇÃO DIRETA N°76/2024; ATO QUE AUTORIZA A CONTRATAÇÃO DIRETA N° 25/</w:t>
      </w:r>
      <w:proofErr w:type="gramStart"/>
      <w:r w:rsidR="00AD7910">
        <w:rPr>
          <w:rFonts w:ascii="Cambria" w:eastAsia="Cambria" w:hAnsi="Cambria" w:cs="Cambria"/>
        </w:rPr>
        <w:t>2024;EMAIL</w:t>
      </w:r>
      <w:proofErr w:type="gramEnd"/>
      <w:r w:rsidR="00AD7910">
        <w:rPr>
          <w:rFonts w:ascii="Cambria" w:eastAsia="Cambria" w:hAnsi="Cambria" w:cs="Cambria"/>
        </w:rPr>
        <w:t xml:space="preserve"> COM A PROPOSTA DA EMPRESA S.S. HIDRO SOLUCOES LTDA; EMAIL COM A PROPOSTA DA EMPRESA PADUA, CONRADO &amp; CIA LTDA;</w:t>
      </w:r>
    </w:p>
    <w:p w:rsidR="00AD7910" w:rsidRDefault="00AD791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EMAIL COM A PROSPOSTA DA EMPRESA HIDROLONDRI POCOS ARTESIANOS LTDA; NOTAS FISCAIS DE SERVIÇO PARA O SAAE N° 532,533,547,550.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AD7910">
        <w:rPr>
          <w:rFonts w:ascii="Cambria" w:eastAsia="Cambria" w:hAnsi="Cambria" w:cs="Cambria"/>
        </w:rPr>
        <w:t>29</w:t>
      </w:r>
      <w:r w:rsidRPr="006609AB">
        <w:rPr>
          <w:rFonts w:ascii="Cambria" w:eastAsia="Cambria" w:hAnsi="Cambria" w:cs="Cambria"/>
        </w:rPr>
        <w:t xml:space="preserve"> de </w:t>
      </w:r>
      <w:r w:rsidR="00C44B43">
        <w:rPr>
          <w:rFonts w:ascii="Cambria" w:eastAsia="Cambria" w:hAnsi="Cambria" w:cs="Cambria"/>
        </w:rPr>
        <w:t>jul</w:t>
      </w:r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AA" w:rsidRDefault="00121BAA">
      <w:r>
        <w:separator/>
      </w:r>
    </w:p>
  </w:endnote>
  <w:endnote w:type="continuationSeparator" w:id="0">
    <w:p w:rsidR="00121BAA" w:rsidRDefault="0012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AA" w:rsidRDefault="00121BAA">
      <w:r>
        <w:separator/>
      </w:r>
    </w:p>
  </w:footnote>
  <w:footnote w:type="continuationSeparator" w:id="0">
    <w:p w:rsidR="00121BAA" w:rsidRDefault="0012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121BA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7910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121BA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121BAA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775720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21BAA"/>
    <w:rsid w:val="00132CD9"/>
    <w:rsid w:val="00134A66"/>
    <w:rsid w:val="00153EE2"/>
    <w:rsid w:val="0016176E"/>
    <w:rsid w:val="00164085"/>
    <w:rsid w:val="00167D33"/>
    <w:rsid w:val="00172BF0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5505"/>
    <w:rsid w:val="00726572"/>
    <w:rsid w:val="00727DD2"/>
    <w:rsid w:val="00733AC9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5D14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353C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13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910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B34D0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7A3C"/>
    <w:rsid w:val="00F573B2"/>
    <w:rsid w:val="00F91D42"/>
    <w:rsid w:val="00F93913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0D76E3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0B0-95C7-4460-841D-2A37A70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451</TotalTime>
  <Pages>4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4975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10</cp:revision>
  <cp:lastPrinted>2024-02-29T11:29:00Z</cp:lastPrinted>
  <dcterms:created xsi:type="dcterms:W3CDTF">2024-05-13T18:10:00Z</dcterms:created>
  <dcterms:modified xsi:type="dcterms:W3CDTF">2024-07-29T19:29:00Z</dcterms:modified>
</cp:coreProperties>
</file>