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rsidR="00A648E2" w:rsidRPr="006C5D01" w:rsidRDefault="00A648E2" w:rsidP="00A648E2">
      <w:pPr>
        <w:spacing w:line="244" w:lineRule="auto"/>
        <w:jc w:val="center"/>
        <w:rPr>
          <w:rFonts w:ascii="Cambria" w:eastAsia="Cambria" w:hAnsi="Cambria" w:cs="Cambria"/>
          <w:color w:val="000000"/>
          <w:sz w:val="24"/>
          <w:szCs w:val="24"/>
        </w:rPr>
      </w:pPr>
    </w:p>
    <w:p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rsidR="009623E2" w:rsidRPr="009623E2" w:rsidRDefault="009623E2" w:rsidP="009623E2">
      <w:pPr>
        <w:spacing w:line="360" w:lineRule="auto"/>
        <w:jc w:val="both"/>
        <w:rPr>
          <w:rFonts w:ascii="Cambria" w:eastAsia="Cambria" w:hAnsi="Cambria" w:cs="Cambria"/>
          <w:color w:val="000000"/>
          <w:sz w:val="24"/>
          <w:szCs w:val="24"/>
        </w:rPr>
      </w:pPr>
      <w:r w:rsidRPr="009623E2">
        <w:rPr>
          <w:rFonts w:ascii="Cambria" w:eastAsia="Cambria" w:hAnsi="Cambria" w:cs="Cambria"/>
          <w:color w:val="000000"/>
          <w:sz w:val="24"/>
          <w:szCs w:val="24"/>
        </w:rPr>
        <w:t>CONTRATAÇÃO DE PESSOA JURIDICA PARA O REPASSE DO RATEIO AO ORGÃO REGULAMENTADOR DO CONSORCIO INTERMUNICIPAL DE SANEAMENTO DO PARANA ORCISPAR.</w:t>
      </w:r>
    </w:p>
    <w:p w:rsidR="00A648E2" w:rsidRPr="006C5D01" w:rsidRDefault="00A648E2" w:rsidP="00A648E2">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6C5D01">
        <w:rPr>
          <w:rFonts w:ascii="Cambria" w:eastAsia="Cambria" w:hAnsi="Cambria" w:cs="Cambria"/>
          <w:b/>
          <w:color w:val="000000"/>
          <w:sz w:val="24"/>
          <w:szCs w:val="24"/>
        </w:rPr>
        <w:t>2. JUSTIFICATIVA</w:t>
      </w:r>
    </w:p>
    <w:p w:rsidR="009623E2" w:rsidRPr="009623E2" w:rsidRDefault="009623E2" w:rsidP="009623E2">
      <w:pPr>
        <w:autoSpaceDE w:val="0"/>
        <w:autoSpaceDN w:val="0"/>
        <w:adjustRightInd w:val="0"/>
        <w:rPr>
          <w:szCs w:val="28"/>
        </w:rPr>
      </w:pPr>
      <w:r w:rsidRPr="009623E2">
        <w:rPr>
          <w:szCs w:val="28"/>
        </w:rPr>
        <w:t>O Órgão Regulador de Saneamento, doravante denominado de Conselho de Regulação e Fiscalização dos Serviços, constitui-se em órgão de natureza consultiva e deliberativa destinado ao exercício da atividade regulatória dos serviços de água, esgoto, resíduos e drenagem em proveito dos municípios consorciados.</w:t>
      </w:r>
    </w:p>
    <w:p w:rsidR="009623E2" w:rsidRPr="009623E2" w:rsidRDefault="009623E2" w:rsidP="009623E2">
      <w:pPr>
        <w:autoSpaceDE w:val="0"/>
        <w:autoSpaceDN w:val="0"/>
        <w:adjustRightInd w:val="0"/>
        <w:rPr>
          <w:szCs w:val="28"/>
        </w:rPr>
      </w:pPr>
      <w:r w:rsidRPr="009623E2">
        <w:rPr>
          <w:szCs w:val="28"/>
        </w:rPr>
        <w:t xml:space="preserve">O repasse dos valores do mesmo consta para termos respaldos mediante a regulamentação de serviços prestados para o SAAE entre um deles a fiscalização e amparo para revisão de valores </w:t>
      </w:r>
      <w:proofErr w:type="spellStart"/>
      <w:r w:rsidRPr="009623E2">
        <w:rPr>
          <w:szCs w:val="28"/>
        </w:rPr>
        <w:t>tarifarios</w:t>
      </w:r>
      <w:proofErr w:type="spellEnd"/>
      <w:r w:rsidRPr="009623E2">
        <w:rPr>
          <w:szCs w:val="28"/>
        </w:rPr>
        <w:t>.</w:t>
      </w:r>
    </w:p>
    <w:p w:rsidR="009623E2" w:rsidRPr="009623E2" w:rsidRDefault="009623E2" w:rsidP="009623E2">
      <w:pPr>
        <w:autoSpaceDE w:val="0"/>
        <w:autoSpaceDN w:val="0"/>
        <w:adjustRightInd w:val="0"/>
        <w:rPr>
          <w:szCs w:val="28"/>
        </w:rPr>
      </w:pPr>
    </w:p>
    <w:p w:rsidR="003B78CE" w:rsidRPr="00D57E2F" w:rsidRDefault="009623E2" w:rsidP="009623E2">
      <w:pPr>
        <w:autoSpaceDE w:val="0"/>
        <w:autoSpaceDN w:val="0"/>
        <w:adjustRightInd w:val="0"/>
        <w:rPr>
          <w:szCs w:val="28"/>
        </w:rPr>
      </w:pPr>
      <w:r w:rsidRPr="009623E2">
        <w:rPr>
          <w:szCs w:val="28"/>
        </w:rPr>
        <w:t>Contrato de 12 meses podendo ser prorrogado co</w:t>
      </w:r>
      <w:r>
        <w:rPr>
          <w:szCs w:val="28"/>
        </w:rPr>
        <w:t>nforme solicitação da Autarquia</w:t>
      </w:r>
      <w:r w:rsidR="003B78CE" w:rsidRPr="00D57E2F">
        <w:rPr>
          <w:szCs w:val="28"/>
        </w:rPr>
        <w:t>.</w:t>
      </w:r>
    </w:p>
    <w:p w:rsidR="00A648E2" w:rsidRPr="006C5D01" w:rsidRDefault="00A648E2" w:rsidP="00A648E2">
      <w:pPr>
        <w:spacing w:line="360" w:lineRule="auto"/>
        <w:ind w:firstLine="720"/>
        <w:rPr>
          <w:rFonts w:ascii="Cambria" w:eastAsia="Cambria" w:hAnsi="Cambria" w:cs="Cambria"/>
          <w:color w:val="000000"/>
          <w:sz w:val="24"/>
          <w:szCs w:val="24"/>
        </w:rPr>
      </w:pP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Agua e Esgoto SAAE </w:t>
      </w:r>
      <w:r w:rsidRPr="006C5D01">
        <w:rPr>
          <w:rFonts w:ascii="Cambria" w:eastAsia="Cambria" w:hAnsi="Cambria" w:cs="Cambria"/>
          <w:color w:val="000000"/>
          <w:sz w:val="24"/>
          <w:szCs w:val="24"/>
        </w:rPr>
        <w:t>de Alvorada do Sul – PR.</w:t>
      </w: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750"/>
        <w:gridCol w:w="8520"/>
      </w:tblGrid>
      <w:tr w:rsidR="00A648E2" w:rsidRPr="006C5D01" w:rsidTr="00F95A91">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DESCRIÇÃO/</w:t>
            </w:r>
          </w:p>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A648E2" w:rsidRPr="006C5D01"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rPr>
            </w:pPr>
            <w:r w:rsidRPr="006C5D01">
              <w:rPr>
                <w:rFonts w:ascii="Cambria" w:eastAsia="Cambria" w:hAnsi="Cambria" w:cs="Cambria"/>
              </w:rPr>
              <w:t>1</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9623E2" w:rsidP="004A6502">
            <w:pPr>
              <w:spacing w:before="60" w:after="60" w:line="288" w:lineRule="auto"/>
              <w:jc w:val="both"/>
              <w:rPr>
                <w:rFonts w:ascii="Cambria" w:eastAsia="Cambria" w:hAnsi="Cambria" w:cs="Cambria"/>
              </w:rPr>
            </w:pPr>
            <w:r>
              <w:rPr>
                <w:rFonts w:ascii="Cambria" w:eastAsia="Cambria" w:hAnsi="Cambria" w:cs="Cambria"/>
              </w:rPr>
              <w:t xml:space="preserve">Mensalidade referente ao rateio do órgão regulador </w:t>
            </w:r>
          </w:p>
        </w:tc>
      </w:tr>
    </w:tbl>
    <w:p w:rsidR="00A648E2" w:rsidRPr="006C5D01" w:rsidRDefault="00A648E2" w:rsidP="00A648E2">
      <w:pPr>
        <w:rPr>
          <w:rFonts w:ascii="Cambria" w:eastAsia="Cambria" w:hAnsi="Cambria" w:cs="Cambria"/>
          <w:color w:val="000000"/>
          <w:sz w:val="24"/>
          <w:szCs w:val="24"/>
        </w:rPr>
      </w:pPr>
    </w:p>
    <w:p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rsidR="00A648E2" w:rsidRPr="006C5D01" w:rsidRDefault="00A648E2" w:rsidP="00A648E2">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aquisição </w:t>
      </w:r>
      <w:r w:rsidR="00BF33DF">
        <w:rPr>
          <w:rFonts w:ascii="Cambria" w:eastAsia="Cambria" w:hAnsi="Cambria" w:cs="Cambria"/>
          <w:color w:val="000000"/>
          <w:sz w:val="24"/>
          <w:szCs w:val="24"/>
        </w:rPr>
        <w:t>do serviço</w:t>
      </w:r>
      <w:r w:rsidRPr="006C5D01">
        <w:rPr>
          <w:rFonts w:ascii="Cambria" w:eastAsia="Cambria" w:hAnsi="Cambria" w:cs="Cambria"/>
          <w:color w:val="000000"/>
          <w:sz w:val="24"/>
          <w:szCs w:val="24"/>
        </w:rPr>
        <w:t xml:space="preserve">, será realizada de acordo com a necessidade do </w:t>
      </w:r>
      <w:r>
        <w:rPr>
          <w:rFonts w:ascii="Cambria" w:eastAsia="Cambria" w:hAnsi="Cambria" w:cs="Cambria"/>
          <w:color w:val="000000"/>
          <w:sz w:val="24"/>
          <w:szCs w:val="24"/>
        </w:rPr>
        <w:t>SAAE</w:t>
      </w:r>
      <w:r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O serviço</w:t>
      </w:r>
      <w:r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rsidR="00A648E2" w:rsidRPr="006C5D01" w:rsidRDefault="00BF33DF"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5</w:t>
      </w:r>
      <w:r w:rsidRPr="006C5D01">
        <w:rPr>
          <w:rFonts w:ascii="Cambria" w:eastAsia="Cambria" w:hAnsi="Cambria" w:cs="Cambria"/>
          <w:b/>
          <w:color w:val="000000"/>
          <w:sz w:val="24"/>
          <w:szCs w:val="24"/>
        </w:rPr>
        <w:t>. GARANTIA DO OBJETO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004027">
        <w:rPr>
          <w:rFonts w:ascii="Cambria" w:eastAsia="Cambria" w:hAnsi="Cambria" w:cs="Cambria"/>
          <w:color w:val="000000"/>
          <w:sz w:val="24"/>
          <w:szCs w:val="24"/>
        </w:rPr>
        <w:t>serviço</w:t>
      </w:r>
      <w:r w:rsidRPr="006C5D01">
        <w:rPr>
          <w:rFonts w:ascii="Cambria" w:eastAsia="Cambria" w:hAnsi="Cambria" w:cs="Cambria"/>
          <w:color w:val="000000"/>
          <w:sz w:val="24"/>
          <w:szCs w:val="24"/>
        </w:rPr>
        <w:t xml:space="preserve">s devem atender às especificações do descritivo contidos no termo de referência, os </w:t>
      </w:r>
      <w:r w:rsidR="00004027">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w:t>
      </w:r>
      <w:proofErr w:type="gramStart"/>
      <w:r w:rsidRPr="006C5D01">
        <w:rPr>
          <w:rFonts w:ascii="Cambria" w:eastAsia="Cambria" w:hAnsi="Cambria" w:cs="Cambria"/>
          <w:color w:val="000000"/>
          <w:sz w:val="24"/>
          <w:szCs w:val="24"/>
        </w:rPr>
        <w:t>responsabilidade ético profissional</w:t>
      </w:r>
      <w:proofErr w:type="gramEnd"/>
      <w:r w:rsidRPr="006C5D01">
        <w:rPr>
          <w:rFonts w:ascii="Cambria" w:eastAsia="Cambria" w:hAnsi="Cambria" w:cs="Cambria"/>
          <w:color w:val="000000"/>
          <w:sz w:val="24"/>
          <w:szCs w:val="24"/>
        </w:rPr>
        <w:t xml:space="preserve"> pela perfeita execução do contrato.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rsidR="00A648E2" w:rsidRPr="006C5D01" w:rsidRDefault="00A648E2" w:rsidP="00A648E2">
      <w:pPr>
        <w:rPr>
          <w:rFonts w:ascii="Cambria" w:eastAsia="Cambria" w:hAnsi="Cambria" w:cs="Cambria"/>
          <w:b/>
          <w:sz w:val="24"/>
          <w:szCs w:val="24"/>
        </w:rPr>
      </w:pPr>
    </w:p>
    <w:p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Não haverá a necessidade de amostras das mercadorias sendo elas compatível com o descritivo da licitação sendo que, se houver divergência, será comunicado a empresa</w:t>
      </w:r>
      <w:r w:rsidR="009623E2">
        <w:rPr>
          <w:rFonts w:ascii="Cambria" w:eastAsia="Cambria" w:hAnsi="Cambria" w:cs="Cambria"/>
          <w:sz w:val="24"/>
          <w:szCs w:val="24"/>
        </w:rPr>
        <w:t xml:space="preserve"> e por ser serviço</w:t>
      </w:r>
      <w:r w:rsidRPr="006C5D01">
        <w:rPr>
          <w:rFonts w:ascii="Cambria" w:eastAsia="Cambria" w:hAnsi="Cambria" w:cs="Cambria"/>
          <w:sz w:val="24"/>
          <w:szCs w:val="24"/>
        </w:rPr>
        <w:t>.</w:t>
      </w: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Outros documentos a serem destacados no edital do certame.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fornecimento do serviço</w:t>
      </w:r>
      <w:r w:rsidR="009623E2">
        <w:rPr>
          <w:rFonts w:ascii="Cambria" w:eastAsia="Cambria" w:hAnsi="Cambria" w:cs="Cambria"/>
          <w:color w:val="000000"/>
          <w:sz w:val="24"/>
          <w:szCs w:val="24"/>
        </w:rPr>
        <w:t xml:space="preserve"> todo o dia 10 de cada mês</w:t>
      </w:r>
      <w:r w:rsidRPr="006C5D01">
        <w:rPr>
          <w:rFonts w:ascii="Cambria" w:eastAsia="Cambria" w:hAnsi="Cambria" w:cs="Cambria"/>
          <w:color w:val="000000"/>
          <w:sz w:val="24"/>
          <w:szCs w:val="24"/>
        </w:rPr>
        <w:t>. É imprescindível a presença de nota fiscal</w:t>
      </w:r>
      <w:r w:rsidRPr="006C5D01">
        <w:rPr>
          <w:rFonts w:ascii="Cambria" w:eastAsia="Cambria" w:hAnsi="Cambria" w:cs="Cambria"/>
          <w:sz w:val="24"/>
          <w:szCs w:val="24"/>
        </w:rPr>
        <w:t xml:space="preserve"> que deverá ser emitida em nome </w:t>
      </w:r>
      <w:r w:rsidRPr="006C5D01">
        <w:rPr>
          <w:rFonts w:ascii="Cambria" w:eastAsia="Cambria" w:hAnsi="Cambria" w:cs="Cambria"/>
          <w:color w:val="000000"/>
          <w:sz w:val="24"/>
          <w:szCs w:val="24"/>
        </w:rPr>
        <w:t>da</w:t>
      </w:r>
      <w:r w:rsidRPr="006C5D01">
        <w:rPr>
          <w:rFonts w:ascii="Cambria" w:eastAsia="Cambria" w:hAnsi="Cambria" w:cs="Cambria"/>
          <w:sz w:val="24"/>
          <w:szCs w:val="24"/>
        </w:rPr>
        <w:t xml:space="preserve"> </w:t>
      </w:r>
      <w:r w:rsidRPr="006C5D01">
        <w:rPr>
          <w:rFonts w:ascii="Cambria" w:eastAsia="Cambria" w:hAnsi="Cambria" w:cs="Cambria"/>
          <w:b/>
          <w:sz w:val="24"/>
          <w:szCs w:val="24"/>
        </w:rPr>
        <w:t>Pessoa Jurídica Requisitante</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rsidR="00A648E2" w:rsidRPr="006C5D01" w:rsidRDefault="00004027"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Por ser tratar de uma inexigibilidade e sendo a contratada a única e exclusiva fornecedora do serviço na cidade de Alvorada do Sul </w:t>
      </w:r>
      <w:proofErr w:type="spellStart"/>
      <w:r>
        <w:rPr>
          <w:rFonts w:ascii="Cambria" w:eastAsia="Cambria" w:hAnsi="Cambria" w:cs="Cambria"/>
          <w:color w:val="000000"/>
          <w:sz w:val="24"/>
          <w:szCs w:val="24"/>
        </w:rPr>
        <w:t>Parana</w:t>
      </w:r>
      <w:proofErr w:type="spellEnd"/>
      <w:r>
        <w:rPr>
          <w:rFonts w:ascii="Cambria" w:eastAsia="Cambria" w:hAnsi="Cambria" w:cs="Cambria"/>
          <w:color w:val="000000"/>
          <w:sz w:val="24"/>
          <w:szCs w:val="24"/>
        </w:rPr>
        <w:t xml:space="preserve">, não haverá disputa por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A Contratada deve cumprir todas as obrigações constantes no Termo de Referência honrando sua proposta e assumindo como exclusivamente seus, os riscos e as despesas decorrentes da boa e perfeita condição dos bens entregues e dos serviços executados.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 objeto em tela rigorosamente no prazo pactuado, mediante requisição da ordem de início, cumprindo com todas as demais obrigações impostas pelo presente Termo e pela legislação aplicável.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Manter, durante a futura execução contratual, quando for o caso, as condições de habilitação e qualificação exigidas em eventual edital em compatibilidade com as obrigações assumidas.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gramStart"/>
      <w:r w:rsidRPr="006C5D01">
        <w:rPr>
          <w:rFonts w:ascii="Cambria" w:eastAsia="Cambria" w:hAnsi="Cambria" w:cs="Cambria"/>
          <w:color w:val="000000"/>
          <w:sz w:val="24"/>
          <w:szCs w:val="24"/>
        </w:rPr>
        <w:t xml:space="preserve"> Realizar</w:t>
      </w:r>
      <w:proofErr w:type="gramEnd"/>
      <w:r w:rsidRPr="006C5D01">
        <w:rPr>
          <w:rFonts w:ascii="Cambria" w:eastAsia="Cambria" w:hAnsi="Cambria" w:cs="Cambria"/>
          <w:color w:val="000000"/>
          <w:sz w:val="24"/>
          <w:szCs w:val="24"/>
        </w:rPr>
        <w:t xml:space="preserve"> a fiscalização do fornecimento a ser prestado;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para a empresa ganhadora do certame sobre o veículo a ser segurado e demais informações necessárias para a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9623E2">
        <w:rPr>
          <w:rFonts w:ascii="Cambria" w:eastAsia="Cambria" w:hAnsi="Cambria" w:cs="Cambria"/>
          <w:sz w:val="24"/>
          <w:szCs w:val="24"/>
        </w:rPr>
        <w:t xml:space="preserve">10 </w:t>
      </w:r>
      <w:r w:rsidRPr="006C5D01">
        <w:rPr>
          <w:rFonts w:ascii="Cambria" w:eastAsia="Cambria" w:hAnsi="Cambria" w:cs="Cambria"/>
          <w:sz w:val="24"/>
          <w:szCs w:val="24"/>
        </w:rPr>
        <w:t>de</w:t>
      </w:r>
      <w:r>
        <w:rPr>
          <w:rFonts w:ascii="Cambria" w:eastAsia="Cambria" w:hAnsi="Cambria" w:cs="Cambria"/>
          <w:sz w:val="24"/>
          <w:szCs w:val="24"/>
        </w:rPr>
        <w:t xml:space="preserve"> </w:t>
      </w:r>
      <w:r w:rsidR="009623E2">
        <w:rPr>
          <w:rFonts w:ascii="Cambria" w:eastAsia="Cambria" w:hAnsi="Cambria" w:cs="Cambria"/>
          <w:sz w:val="24"/>
          <w:szCs w:val="24"/>
        </w:rPr>
        <w:t>junho</w:t>
      </w:r>
      <w:bookmarkStart w:id="4" w:name="_GoBack"/>
      <w:bookmarkEnd w:id="4"/>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rsidR="00A648E2" w:rsidRPr="006C5D01" w:rsidRDefault="00A648E2" w:rsidP="00A648E2">
      <w:pPr>
        <w:spacing w:line="360" w:lineRule="auto"/>
        <w:jc w:val="right"/>
        <w:rPr>
          <w:rFonts w:ascii="Cambria" w:eastAsia="Cambria" w:hAnsi="Cambria" w:cs="Cambria"/>
          <w:sz w:val="24"/>
          <w:szCs w:val="24"/>
        </w:rPr>
      </w:pPr>
    </w:p>
    <w:p w:rsidR="00A648E2" w:rsidRDefault="00A648E2" w:rsidP="00A648E2">
      <w:pPr>
        <w:spacing w:line="360" w:lineRule="auto"/>
      </w:pPr>
      <w:r>
        <w:rPr>
          <w:noProof/>
        </w:rPr>
        <mc:AlternateContent>
          <mc:Choice Requires="wpg">
            <w:drawing>
              <wp:inline distT="0" distB="0" distL="0" distR="0" wp14:anchorId="60CD5B22" wp14:editId="412E1306">
                <wp:extent cx="2889250" cy="840324"/>
                <wp:effectExtent l="0" t="0" r="6350" b="0"/>
                <wp:docPr id="19" name="Agrupar 19"/>
                <wp:cNvGraphicFramePr/>
                <a:graphic xmlns:a="http://schemas.openxmlformats.org/drawingml/2006/main">
                  <a:graphicData uri="http://schemas.microsoft.com/office/word/2010/wordprocessingGroup">
                    <wpg:wgp>
                      <wpg:cNvGrpSpPr/>
                      <wpg:grpSpPr>
                        <a:xfrm>
                          <a:off x="0" y="0"/>
                          <a:ext cx="2889250" cy="840324"/>
                          <a:chOff x="3892825" y="3366000"/>
                          <a:chExt cx="2893175" cy="828000"/>
                        </a:xfrm>
                      </wpg:grpSpPr>
                      <wps:wsp>
                        <wps:cNvPr id="20" name="Retângulo 20"/>
                        <wps:cNvSpPr/>
                        <wps:spPr>
                          <a:xfrm>
                            <a:off x="3892825" y="3366000"/>
                            <a:ext cx="2893175"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22" name="Conector de Seta Reta 22"/>
                        <wps:cNvCnPr/>
                        <wps:spPr>
                          <a:xfrm>
                            <a:off x="3892825" y="3468525"/>
                            <a:ext cx="2874600" cy="0"/>
                          </a:xfrm>
                          <a:prstGeom prst="straightConnector1">
                            <a:avLst/>
                          </a:prstGeom>
                          <a:noFill/>
                          <a:ln w="9525" cap="flat" cmpd="sng">
                            <a:solidFill>
                              <a:srgbClr val="000000"/>
                            </a:solidFill>
                            <a:prstDash val="solid"/>
                            <a:round/>
                            <a:headEnd type="none" w="sm" len="sm"/>
                            <a:tailEnd type="none" w="sm" len="sm"/>
                          </a:ln>
                        </wps:spPr>
                        <wps:bodyPr/>
                      </wps:wsp>
                    </wpg:wgp>
                  </a:graphicData>
                </a:graphic>
              </wp:inline>
            </w:drawing>
          </mc:Choice>
          <mc:Fallback>
            <w:pict>
              <v:group w14:anchorId="60CD5B22" id="Agrupar 19" o:spid="_x0000_s1026" style="width:227.5pt;height:66.15pt;mso-position-horizontal-relative:char;mso-position-vertical-relative:line" coordorigin="38928,33660" coordsize="28931,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">
                <v:rect id="Retângulo 20" o:spid="_x0000_s1027" style="position:absolute;left:38928;top:33660;width:28932;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shapetype id="_x0000_t32" coordsize="21600,21600" o:spt="32" o:oned="t" path="m,l21600,21600e" filled="f">
                  <v:path arrowok="t" fillok="f" o:connecttype="none"/>
                  <o:lock v:ext="edit" shapetype="t"/>
                </v:shapetype>
                <v:shape id="Conector de Seta Reta 22" o:spid="_x0000_s1028" type="#_x0000_t32" style="position:absolute;left:38928;top:34685;width:28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">
                  <v:stroke startarrowwidth="narrow" startarrowlength="short" endarrowwidth="narrow" endarrowlength="short"/>
                </v:shape>
                <w10:anchorlock/>
              </v:group>
            </w:pict>
          </mc:Fallback>
        </mc:AlternateContent>
      </w:r>
    </w:p>
    <w:p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w:lastRenderedPageBreak/>
        <mc:AlternateContent>
          <mc:Choice Requires="wpg">
            <w:drawing>
              <wp:inline distT="0" distB="0" distL="0" distR="0" wp14:anchorId="1F9CA7B2" wp14:editId="57DA1B53">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F9CA7B2" id="Agrupar 2" o:spid="_x0000_s1029"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">
                <v:group id="Agrupar 3" o:spid="_x0000_s1030"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1"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648E2" w:rsidRDefault="00A648E2" w:rsidP="00A648E2">
                          <w:pPr>
                            <w:textDirection w:val="btLr"/>
                          </w:pPr>
                        </w:p>
                      </w:txbxContent>
                    </v:textbox>
                  </v:rect>
                  <v:rect id="Retângulo 6" o:spid="_x0000_s1032"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v:textbox>
                  </v:rect>
                  <v:shape id="Conector de Seta Reta 7" o:spid="_x0000_s1033"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rsidR="00A648E2" w:rsidRPr="006C5D01" w:rsidRDefault="00A648E2" w:rsidP="00A648E2">
      <w:pPr>
        <w:spacing w:line="360" w:lineRule="auto"/>
        <w:rPr>
          <w:rFonts w:ascii="Calibri" w:eastAsia="Calibri" w:hAnsi="Calibri" w:cs="Calibri"/>
        </w:rPr>
      </w:pPr>
    </w:p>
    <w:p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655719D0" wp14:editId="59863885">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55719D0" id="Agrupar 32" o:spid="_x0000_s1034"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">
                <v:group id="Agrupar 35" o:spid="_x0000_s1035"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6"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A648E2" w:rsidRDefault="00A648E2" w:rsidP="00A648E2">
                          <w:pPr>
                            <w:textDirection w:val="btLr"/>
                          </w:pPr>
                        </w:p>
                      </w:txbxContent>
                    </v:textbox>
                  </v:rect>
                  <v:group id="Agrupar 37" o:spid="_x0000_s1037"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8"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rect id="Retângulo 39" o:spid="_x0000_s1039"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v:textbox>
                    </v:rect>
                    <v:shape id="Conector de Seta Reta 40" o:spid="_x0000_s1040"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rsidR="00A648E2" w:rsidRDefault="00A648E2" w:rsidP="00A648E2">
      <w:pPr>
        <w:spacing w:after="268" w:line="249" w:lineRule="auto"/>
        <w:ind w:right="716"/>
        <w:jc w:val="center"/>
        <w:rPr>
          <w:rFonts w:ascii="Calibri" w:eastAsia="Calibri" w:hAnsi="Calibri" w:cs="Calibri"/>
          <w:color w:val="0D0D0D"/>
          <w:sz w:val="24"/>
          <w:szCs w:val="24"/>
        </w:rPr>
      </w:pPr>
    </w:p>
    <w:p w:rsidR="00A648E2" w:rsidRDefault="00A648E2" w:rsidP="00A648E2">
      <w:pPr>
        <w:spacing w:after="268" w:line="249" w:lineRule="auto"/>
        <w:ind w:right="716"/>
        <w:jc w:val="center"/>
        <w:rPr>
          <w:rFonts w:ascii="Calibri" w:eastAsia="Calibri" w:hAnsi="Calibri" w:cs="Calibri"/>
          <w:color w:val="0D0D0D"/>
          <w:sz w:val="24"/>
          <w:szCs w:val="24"/>
        </w:rPr>
      </w:pPr>
    </w:p>
    <w:p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70" w:rsidRDefault="00872370">
      <w:r>
        <w:separator/>
      </w:r>
    </w:p>
  </w:endnote>
  <w:endnote w:type="continuationSeparator" w:id="0">
    <w:p w:rsidR="00872370" w:rsidRDefault="0087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67291"/>
      <w:docPartObj>
        <w:docPartGallery w:val="Page Numbers (Bottom of Page)"/>
        <w:docPartUnique/>
      </w:docPartObj>
    </w:sdtPr>
    <w:sdtEndPr/>
    <w:sdtContent>
      <w:p w:rsidR="0051328E" w:rsidRDefault="005D072E">
        <w:pPr>
          <w:pStyle w:val="Rodap"/>
          <w:jc w:val="right"/>
        </w:pPr>
        <w:r>
          <w:fldChar w:fldCharType="begin"/>
        </w:r>
        <w:r>
          <w:instrText xml:space="preserve"> PAGE   \* MERGEFORMAT </w:instrText>
        </w:r>
        <w:r>
          <w:fldChar w:fldCharType="separate"/>
        </w:r>
        <w:r w:rsidR="009623E2">
          <w:rPr>
            <w:noProof/>
          </w:rPr>
          <w:t>7</w:t>
        </w:r>
        <w:r>
          <w:rPr>
            <w:noProof/>
          </w:rPr>
          <w:fldChar w:fldCharType="end"/>
        </w:r>
      </w:p>
    </w:sdtContent>
  </w:sdt>
  <w:p w:rsidR="0051328E" w:rsidRDefault="0051328E">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70" w:rsidRDefault="00872370">
      <w:r>
        <w:separator/>
      </w:r>
    </w:p>
  </w:footnote>
  <w:footnote w:type="continuationSeparator" w:id="0">
    <w:p w:rsidR="00872370" w:rsidRDefault="0087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872370">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end"/>
    </w:r>
  </w:p>
  <w:p w:rsidR="0051328E" w:rsidRDefault="0051328E">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6A76DC">
    <w:pPr>
      <w:pStyle w:val="Cabealho"/>
      <w:framePr w:w="537" w:wrap="around" w:vAnchor="text" w:hAnchor="page" w:x="10416" w:y="-418"/>
      <w:rPr>
        <w:rStyle w:val="Nmerodepgina"/>
      </w:rPr>
    </w:pPr>
    <w:r>
      <w:rPr>
        <w:rStyle w:val="Nmerodepgina"/>
      </w:rPr>
      <w:fldChar w:fldCharType="begin"/>
    </w:r>
    <w:r w:rsidR="0051328E">
      <w:rPr>
        <w:rStyle w:val="Nmerodepgina"/>
      </w:rPr>
      <w:instrText xml:space="preserve"> PAGE </w:instrText>
    </w:r>
    <w:r>
      <w:rPr>
        <w:rStyle w:val="Nmerodepgina"/>
      </w:rPr>
      <w:fldChar w:fldCharType="separate"/>
    </w:r>
    <w:r w:rsidR="009623E2">
      <w:rPr>
        <w:rStyle w:val="Nmerodepgina"/>
        <w:noProof/>
      </w:rPr>
      <w:t>7</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51328E">
      <w:trPr>
        <w:trHeight w:val="1166"/>
      </w:trPr>
      <w:tc>
        <w:tcPr>
          <w:tcW w:w="2238" w:type="dxa"/>
          <w:tcBorders>
            <w:bottom w:val="single" w:sz="18" w:space="0" w:color="000080"/>
          </w:tcBorders>
        </w:tcPr>
        <w:p w:rsidR="0051328E" w:rsidRDefault="00870A4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sidR="00332F5C">
            <w:rPr>
              <w:rFonts w:ascii="Arial Rounded MT Bold" w:hAnsi="Arial Rounded MT Bold"/>
              <w:noProof/>
            </w:rPr>
            <mc:AlternateContent>
              <mc:Choice Requires="wps">
                <w:drawing>
                  <wp:anchor distT="0" distB="0" distL="114300" distR="114300" simplePos="0" relativeHeight="251659776" behindDoc="0" locked="0" layoutInCell="1" allowOverlap="1">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1"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" filled="f" fillcolor="#bbe0e3" stroked="f">
                    <v:textbo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tc>
    </w:tr>
  </w:tbl>
  <w:p w:rsidR="0051328E" w:rsidRDefault="0051328E">
    <w:pPr>
      <w:pStyle w:val="Corpo"/>
    </w:pPr>
  </w:p>
  <w:p w:rsidR="0051328E" w:rsidRDefault="0051328E">
    <w:pPr>
      <w:pStyle w:val="Corpo"/>
    </w:pPr>
  </w:p>
  <w:p w:rsidR="0051328E" w:rsidRDefault="0051328E">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872370">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separate"/>
    </w:r>
    <w:r w:rsidR="0051328E">
      <w:rPr>
        <w:rStyle w:val="Nmerodepgina"/>
        <w:noProof/>
      </w:rPr>
      <w:t>0</w:t>
    </w:r>
    <w:r w:rsidR="006A76DC">
      <w:rPr>
        <w:rStyle w:val="Nmerodepgina"/>
      </w:rPr>
      <w:fldChar w:fldCharType="end"/>
    </w:r>
  </w:p>
  <w:p w:rsidR="0051328E" w:rsidRDefault="0051328E">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51328E">
      <w:trPr>
        <w:trHeight w:val="35"/>
      </w:trPr>
      <w:tc>
        <w:tcPr>
          <w:tcW w:w="2338" w:type="dxa"/>
          <w:tcBorders>
            <w:bottom w:val="single" w:sz="18" w:space="0" w:color="000080"/>
          </w:tcBorders>
        </w:tcPr>
        <w:p w:rsidR="0051328E" w:rsidRDefault="00872370">
          <w:pPr>
            <w:pStyle w:val="TextosemFormatao"/>
            <w:outlineLvl w:val="0"/>
            <w:rPr>
              <w:rFonts w:ascii="Arial Rounded MT Bold" w:hAnsi="Arial Rounded MT Bold"/>
            </w:rPr>
          </w:pPr>
          <w:r>
            <w:rPr>
              <w:noProof/>
            </w:rPr>
            <w:object w:dxaOrig="1440" w:dyaOrig="1440">
              <v:shape id="_x0000_s2049" type="#_x0000_t75" style="position:absolute;margin-left:2.95pt;margin-top:1.35pt;width:108pt;height:57.6pt;z-index:251655680">
                <v:imagedata r:id="rId2" o:title=""/>
              </v:shape>
              <o:OLEObject Type="Embed" ProgID="PBrush" ShapeID="_x0000_s2049" DrawAspect="Content" ObjectID="_1779621386" r:id="rId3"/>
            </w:object>
          </w:r>
        </w:p>
      </w:tc>
      <w:tc>
        <w:tcPr>
          <w:tcW w:w="7645" w:type="dxa"/>
          <w:tcBorders>
            <w:bottom w:val="single" w:sz="18" w:space="0" w:color="000080"/>
          </w:tcBorders>
        </w:tcPr>
        <w:p w:rsidR="0051328E" w:rsidRDefault="0051328E">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rsidR="0051328E" w:rsidRDefault="0051328E">
    <w:pPr>
      <w:pStyle w:val="Corpo"/>
      <w:rPr>
        <w:b w:val="0"/>
        <w:sz w:val="24"/>
      </w:rPr>
    </w:pPr>
  </w:p>
  <w:p w:rsidR="0051328E" w:rsidRDefault="0051328E">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8"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1"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4"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5"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
  </w:num>
  <w:num w:numId="4">
    <w:abstractNumId w:val="13"/>
  </w:num>
  <w:num w:numId="5">
    <w:abstractNumId w:val="7"/>
  </w:num>
  <w:num w:numId="6">
    <w:abstractNumId w:val="0"/>
  </w:num>
  <w:num w:numId="7">
    <w:abstractNumId w:val="2"/>
  </w:num>
  <w:num w:numId="8">
    <w:abstractNumId w:val="6"/>
  </w:num>
  <w:num w:numId="9">
    <w:abstractNumId w:val="10"/>
  </w:num>
  <w:num w:numId="10">
    <w:abstractNumId w:val="10"/>
    <w:lvlOverride w:ilvl="0">
      <w:lvl w:ilvl="0">
        <w:start w:val="1"/>
        <w:numFmt w:val="lowerLetter"/>
        <w:lvlText w:val="%1)"/>
        <w:legacy w:legacy="1" w:legacySpace="0" w:legacyIndent="283"/>
        <w:lvlJc w:val="left"/>
        <w:pPr>
          <w:ind w:left="283" w:hanging="283"/>
        </w:pPr>
        <w:rPr>
          <w:b w:val="0"/>
          <w:i w:val="0"/>
        </w:rPr>
      </w:lvl>
    </w:lvlOverride>
  </w:num>
  <w:num w:numId="11">
    <w:abstractNumId w:val="4"/>
  </w:num>
  <w:num w:numId="12">
    <w:abstractNumId w:val="3"/>
  </w:num>
  <w:num w:numId="13">
    <w:abstractNumId w:val="11"/>
  </w:num>
  <w:num w:numId="14">
    <w:abstractNumId w:val="16"/>
  </w:num>
  <w:num w:numId="15">
    <w:abstractNumId w:val="5"/>
  </w:num>
  <w:num w:numId="16">
    <w:abstractNumId w:val="8"/>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D4"/>
    <w:rsid w:val="00003159"/>
    <w:rsid w:val="00004027"/>
    <w:rsid w:val="00005FC5"/>
    <w:rsid w:val="000064B7"/>
    <w:rsid w:val="000154DC"/>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26297"/>
    <w:rsid w:val="00433B1F"/>
    <w:rsid w:val="00434C81"/>
    <w:rsid w:val="00440CA4"/>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2632F"/>
    <w:rsid w:val="00834A83"/>
    <w:rsid w:val="00837946"/>
    <w:rsid w:val="008400D0"/>
    <w:rsid w:val="008446E9"/>
    <w:rsid w:val="00870A45"/>
    <w:rsid w:val="00872370"/>
    <w:rsid w:val="00882176"/>
    <w:rsid w:val="008961D5"/>
    <w:rsid w:val="008B2344"/>
    <w:rsid w:val="008B2FBA"/>
    <w:rsid w:val="008B3AAD"/>
    <w:rsid w:val="008C3931"/>
    <w:rsid w:val="008C449D"/>
    <w:rsid w:val="008C6FD4"/>
    <w:rsid w:val="008D255A"/>
    <w:rsid w:val="008D6E60"/>
    <w:rsid w:val="008E1777"/>
    <w:rsid w:val="008E3F8A"/>
    <w:rsid w:val="008F1E53"/>
    <w:rsid w:val="008F34C0"/>
    <w:rsid w:val="008F49C2"/>
    <w:rsid w:val="008F7785"/>
    <w:rsid w:val="008F7F51"/>
    <w:rsid w:val="0091317E"/>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51AB6"/>
    <w:rsid w:val="00E532A6"/>
    <w:rsid w:val="00E533AB"/>
    <w:rsid w:val="00E55D53"/>
    <w:rsid w:val="00E5662C"/>
    <w:rsid w:val="00E62D1A"/>
    <w:rsid w:val="00E6529E"/>
    <w:rsid w:val="00E95CB5"/>
    <w:rsid w:val="00EA246F"/>
    <w:rsid w:val="00EA7AE0"/>
    <w:rsid w:val="00EB6744"/>
    <w:rsid w:val="00EB6A13"/>
    <w:rsid w:val="00ED5D22"/>
    <w:rsid w:val="00ED7412"/>
    <w:rsid w:val="00EE1614"/>
    <w:rsid w:val="00EE7036"/>
    <w:rsid w:val="00EF0B76"/>
    <w:rsid w:val="00F152AE"/>
    <w:rsid w:val="00F33F48"/>
    <w:rsid w:val="00F43697"/>
    <w:rsid w:val="00F441B1"/>
    <w:rsid w:val="00F47A3C"/>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01C2E5"/>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208E-E2DF-4787-B268-9F35AD63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10</TotalTime>
  <Pages>7</Pages>
  <Words>1565</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10000</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4</cp:revision>
  <cp:lastPrinted>2020-05-14T17:21:00Z</cp:lastPrinted>
  <dcterms:created xsi:type="dcterms:W3CDTF">2024-05-13T20:20:00Z</dcterms:created>
  <dcterms:modified xsi:type="dcterms:W3CDTF">2024-06-11T17:30:00Z</dcterms:modified>
</cp:coreProperties>
</file>