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0311A" w14:textId="77777777"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14:paraId="1AC87249" w14:textId="77777777" w:rsidR="00A648E2" w:rsidRPr="006C5D01" w:rsidRDefault="00A648E2" w:rsidP="00A648E2">
      <w:pPr>
        <w:spacing w:line="244" w:lineRule="auto"/>
        <w:jc w:val="center"/>
        <w:rPr>
          <w:rFonts w:ascii="Cambria" w:eastAsia="Cambria" w:hAnsi="Cambria" w:cs="Cambria"/>
          <w:color w:val="000000"/>
          <w:sz w:val="24"/>
          <w:szCs w:val="24"/>
        </w:rPr>
      </w:pPr>
    </w:p>
    <w:p w14:paraId="16D52B12" w14:textId="77777777" w:rsidR="00A648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14:paraId="6CD818AE" w14:textId="57D360FF" w:rsidR="000D5AF3" w:rsidRPr="000D5AF3" w:rsidRDefault="000D5AF3" w:rsidP="000D5AF3">
      <w:pPr>
        <w:spacing w:line="360" w:lineRule="auto"/>
        <w:jc w:val="both"/>
        <w:rPr>
          <w:rFonts w:ascii="Cambria" w:eastAsia="Cambria" w:hAnsi="Cambria" w:cs="Cambria"/>
          <w:b/>
          <w:color w:val="000000"/>
          <w:sz w:val="24"/>
          <w:szCs w:val="24"/>
        </w:rPr>
      </w:pPr>
      <w:r w:rsidRPr="00D9517D">
        <w:rPr>
          <w:rFonts w:asciiTheme="majorHAnsi" w:hAnsiTheme="majorHAnsi" w:cstheme="minorHAnsi"/>
          <w:color w:val="000000" w:themeColor="text1"/>
          <w:sz w:val="24"/>
          <w:szCs w:val="24"/>
        </w:rPr>
        <w:t xml:space="preserve">CONTRATAÇÃO DE PESSOA JURIDICA PARA O UPGRATE E </w:t>
      </w:r>
      <w:proofErr w:type="gramStart"/>
      <w:r w:rsidRPr="00D9517D">
        <w:rPr>
          <w:rFonts w:asciiTheme="majorHAnsi" w:hAnsiTheme="majorHAnsi" w:cstheme="minorHAnsi"/>
          <w:color w:val="000000" w:themeColor="text1"/>
          <w:sz w:val="24"/>
          <w:szCs w:val="24"/>
        </w:rPr>
        <w:t>A  PRESTAÇÃO</w:t>
      </w:r>
      <w:proofErr w:type="gramEnd"/>
      <w:r>
        <w:rPr>
          <w:rFonts w:asciiTheme="majorHAnsi" w:hAnsiTheme="majorHAnsi" w:cstheme="minorHAnsi"/>
          <w:color w:val="000000" w:themeColor="text1"/>
          <w:sz w:val="24"/>
          <w:szCs w:val="24"/>
        </w:rPr>
        <w:t xml:space="preserve"> </w:t>
      </w:r>
      <w:r w:rsidRPr="00D9517D">
        <w:rPr>
          <w:rFonts w:asciiTheme="majorHAnsi" w:hAnsiTheme="majorHAnsi" w:cstheme="minorHAnsi"/>
          <w:color w:val="000000" w:themeColor="text1"/>
          <w:sz w:val="24"/>
          <w:szCs w:val="24"/>
        </w:rPr>
        <w:t>SERVIÇOS DE LICENCIAMENTO E MANUTENÇÃO DE UM SISTEMA DE GESTÃO COMERCIAL, QUE INCLUI FUNCIONALIDADES COMO LEITURA E IMPRESSÃO SIMULTÂNEAS, GESTÃO DE ORDENS DE SERVIÇO ONLINE</w:t>
      </w:r>
      <w:r>
        <w:rPr>
          <w:rFonts w:asciiTheme="majorHAnsi" w:hAnsiTheme="majorHAnsi" w:cstheme="minorHAnsi"/>
          <w:color w:val="000000" w:themeColor="text1"/>
          <w:sz w:val="24"/>
          <w:szCs w:val="24"/>
        </w:rPr>
        <w:t xml:space="preserve"> </w:t>
      </w:r>
      <w:r w:rsidRPr="00D9517D">
        <w:rPr>
          <w:rFonts w:asciiTheme="majorHAnsi" w:hAnsiTheme="majorHAnsi" w:cstheme="minorHAnsi"/>
          <w:color w:val="000000" w:themeColor="text1"/>
          <w:sz w:val="24"/>
          <w:szCs w:val="24"/>
        </w:rPr>
        <w:t>PARA DISPOSITIVOS MÓVEIS, ACOMPANHADAS DE UM APLICATIVO ESPECÍFICO PARA ESTE MÓDULO, E UMA AGÊNCIA VIRTUAL, TODOS OPERANDO INTEGRALMENTE EM AMBIENTE WEB</w:t>
      </w:r>
      <w:r w:rsidRPr="00E31C08">
        <w:rPr>
          <w:rFonts w:asciiTheme="majorHAnsi" w:hAnsiTheme="majorHAnsi" w:cstheme="minorHAnsi"/>
          <w:color w:val="000000" w:themeColor="text1"/>
          <w:sz w:val="24"/>
          <w:szCs w:val="24"/>
        </w:rPr>
        <w:t>.</w:t>
      </w:r>
    </w:p>
    <w:p w14:paraId="1D6B4AAB" w14:textId="77777777" w:rsidR="00A648E2" w:rsidRPr="006C5D01" w:rsidRDefault="00A648E2"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6C5D01">
        <w:rPr>
          <w:rFonts w:ascii="Cambria" w:eastAsia="Cambria" w:hAnsi="Cambria" w:cs="Cambria"/>
          <w:b/>
          <w:color w:val="000000"/>
          <w:sz w:val="24"/>
          <w:szCs w:val="24"/>
        </w:rPr>
        <w:t>2. JUSTIFICATIVA</w:t>
      </w:r>
    </w:p>
    <w:p w14:paraId="381C4841" w14:textId="77777777" w:rsidR="00EB4A54" w:rsidRPr="00EB4A54" w:rsidRDefault="00EB4A54" w:rsidP="00EB4A54">
      <w:pPr>
        <w:spacing w:line="360" w:lineRule="auto"/>
        <w:ind w:firstLine="720"/>
        <w:rPr>
          <w:sz w:val="24"/>
          <w:szCs w:val="24"/>
        </w:rPr>
      </w:pPr>
      <w:r w:rsidRPr="00EB4A54">
        <w:rPr>
          <w:sz w:val="24"/>
          <w:szCs w:val="24"/>
        </w:rPr>
        <w:t>HOJE, NO SAAE DE ALVORADA DO SUL, CONTAMOS COM A EMPRESA CONTRATADA SANEGRAPH PARA O SERVIÇO DE GESTAO COMERCIAL E CONTABIL DO SAAE CONTRATO FEITO DESDE 2014, SENDO QUE, COM O PASSAR DO TEMPO HOUVE VARIAS MELHORIAS NO QUESITO DO SISTEMA ONDE ELE SE TORNOU ON-LINE, NAO TENDO QUE TER UM SERVIDOR FISICO PARA O FUNCIONAMENTO DO MESMO, ONDE QUE HÁ BASTANTE IMPECILHOS POR CONTA DE QUEDA DE ENERGIA ELETRICA ONDE O MESMO TEM QUE ESTAR LIGADO PARA O FUNCIONAMENTO, COM ESSE UPGRADE ELE SE TORNARA VIRTUAL, QUE PODERA SER ACESSADO DE QUALQUER LUGAR, DESDE QUE SEJA AUTORIZADO, QUE SERA MELHOR PARA QUANDO PRECISAR DE UM AUXILIO DE ALGUM FUNCIONARIO QUE NAO ESTIVER NAS DEPENDENCIAS DO SAAE.</w:t>
      </w:r>
    </w:p>
    <w:p w14:paraId="300CC00E" w14:textId="77777777" w:rsidR="00EB4A54" w:rsidRPr="00EB4A54" w:rsidRDefault="00EB4A54" w:rsidP="00EB4A54">
      <w:pPr>
        <w:spacing w:line="360" w:lineRule="auto"/>
        <w:ind w:firstLine="720"/>
        <w:rPr>
          <w:sz w:val="24"/>
          <w:szCs w:val="24"/>
        </w:rPr>
      </w:pPr>
      <w:r w:rsidRPr="00EB4A54">
        <w:rPr>
          <w:sz w:val="24"/>
          <w:szCs w:val="24"/>
        </w:rPr>
        <w:t>FORA ESSA GRANDE MELHORIA TAMBEM ESTARA NESSE UPGRADE UMA VERSÃO PARA SER BAIXADO NO CELULAR DOS CONSUMIDORES, ONDE OS MESMOS TERAO ACESSO EM SUA LIGAÇAO DE AGUA ONDE PODERAM RECEBER FATURAS, CONSULTAR EXTRATOS E RECEBER ALERTAS DE NOTIFICAÇÃO CASO A FALTA DE AGUA, COMO PARA A TROCA POR UM SISTEMA NOVO HA MUITOS CONTRATEMPOS, COMO FOI A TROCA PARA ESSE MESMO, A MELHOR OPÇÃO PARA O MUNICIPIO É A PRORRAGAÇAO DO CONTRATO COM A MESMA, QUE SEMPRE FORNECEU ASSISTENCIA QUANDO SOLICITADO.</w:t>
      </w:r>
    </w:p>
    <w:p w14:paraId="743095C6" w14:textId="77777777" w:rsidR="00EB4A54" w:rsidRPr="00EB4A54" w:rsidRDefault="00EB4A54" w:rsidP="00EB4A54">
      <w:pPr>
        <w:spacing w:line="360" w:lineRule="auto"/>
        <w:ind w:firstLine="720"/>
        <w:rPr>
          <w:sz w:val="24"/>
          <w:szCs w:val="24"/>
        </w:rPr>
      </w:pPr>
    </w:p>
    <w:p w14:paraId="06EED215" w14:textId="77777777" w:rsidR="00A648E2" w:rsidRPr="00EB4A54" w:rsidRDefault="00EB4A54" w:rsidP="00EB4A54">
      <w:pPr>
        <w:spacing w:line="360" w:lineRule="auto"/>
        <w:ind w:firstLine="720"/>
        <w:rPr>
          <w:rFonts w:ascii="Cambria" w:eastAsia="Cambria" w:hAnsi="Cambria" w:cs="Cambria"/>
          <w:color w:val="000000"/>
          <w:sz w:val="24"/>
          <w:szCs w:val="24"/>
        </w:rPr>
      </w:pPr>
      <w:r w:rsidRPr="00EB4A54">
        <w:rPr>
          <w:sz w:val="24"/>
          <w:szCs w:val="24"/>
        </w:rPr>
        <w:t>CONTRATO DE 12 MESES PODENDO PRORROGAR.</w:t>
      </w:r>
    </w:p>
    <w:p w14:paraId="12FE1A91" w14:textId="77777777" w:rsidR="00A648E2" w:rsidRPr="006C5D01" w:rsidRDefault="00A648E2" w:rsidP="00A648E2">
      <w:pPr>
        <w:rPr>
          <w:rFonts w:ascii="Cambria" w:eastAsia="Cambria" w:hAnsi="Cambria" w:cs="Cambria"/>
          <w:color w:val="000000"/>
          <w:sz w:val="24"/>
          <w:szCs w:val="24"/>
        </w:rPr>
      </w:pPr>
    </w:p>
    <w:p w14:paraId="394DE339" w14:textId="77777777"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14:paraId="7C12E489" w14:textId="77777777"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14:paraId="7BD64C02" w14:textId="77777777"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lastRenderedPageBreak/>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Agua e Esgoto SAAE </w:t>
      </w:r>
      <w:r w:rsidRPr="006C5D01">
        <w:rPr>
          <w:rFonts w:ascii="Cambria" w:eastAsia="Cambria" w:hAnsi="Cambria" w:cs="Cambria"/>
          <w:color w:val="000000"/>
          <w:sz w:val="24"/>
          <w:szCs w:val="24"/>
        </w:rPr>
        <w:t>de Alvorada do Sul – PR.</w:t>
      </w:r>
    </w:p>
    <w:tbl>
      <w:tblPr>
        <w:tblW w:w="9270" w:type="dxa"/>
        <w:tblBorders>
          <w:top w:val="nil"/>
          <w:left w:val="nil"/>
          <w:bottom w:val="nil"/>
          <w:right w:val="nil"/>
          <w:insideH w:val="nil"/>
          <w:insideV w:val="nil"/>
        </w:tblBorders>
        <w:tblLayout w:type="fixed"/>
        <w:tblLook w:val="0600" w:firstRow="0" w:lastRow="0" w:firstColumn="0" w:lastColumn="0" w:noHBand="1" w:noVBand="1"/>
      </w:tblPr>
      <w:tblGrid>
        <w:gridCol w:w="750"/>
        <w:gridCol w:w="8520"/>
      </w:tblGrid>
      <w:tr w:rsidR="00A648E2" w:rsidRPr="006C5D01" w14:paraId="3E026CAF" w14:textId="77777777" w:rsidTr="00F95A91">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2EECD3" w14:textId="77777777"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403D7C" w14:textId="77777777"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DESCRIÇÃO/</w:t>
            </w:r>
          </w:p>
          <w:p w14:paraId="518387ED" w14:textId="77777777" w:rsidR="00A648E2" w:rsidRPr="006C5D01" w:rsidRDefault="00A648E2" w:rsidP="00F95A91">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A648E2" w:rsidRPr="006C5D01" w14:paraId="50EC7280" w14:textId="77777777"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104A64" w14:textId="77777777" w:rsidR="00A648E2" w:rsidRPr="006C5D01" w:rsidRDefault="00A648E2" w:rsidP="00F95A91">
            <w:pPr>
              <w:spacing w:before="60" w:after="60" w:line="288" w:lineRule="auto"/>
              <w:jc w:val="center"/>
              <w:rPr>
                <w:rFonts w:ascii="Cambria" w:eastAsia="Cambria" w:hAnsi="Cambria" w:cs="Cambria"/>
              </w:rPr>
            </w:pPr>
            <w:r w:rsidRPr="006C5D01">
              <w:rPr>
                <w:rFonts w:ascii="Cambria" w:eastAsia="Cambria" w:hAnsi="Cambria" w:cs="Cambria"/>
              </w:rPr>
              <w:t>1</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02CFD8" w14:textId="77777777" w:rsidR="00A648E2" w:rsidRPr="006C5D01" w:rsidRDefault="009623E2" w:rsidP="00EB4A54">
            <w:pPr>
              <w:spacing w:before="60" w:after="60" w:line="288" w:lineRule="auto"/>
              <w:jc w:val="both"/>
              <w:rPr>
                <w:rFonts w:ascii="Cambria" w:eastAsia="Cambria" w:hAnsi="Cambria" w:cs="Cambria"/>
              </w:rPr>
            </w:pPr>
            <w:r>
              <w:rPr>
                <w:rFonts w:ascii="Cambria" w:eastAsia="Cambria" w:hAnsi="Cambria" w:cs="Cambria"/>
              </w:rPr>
              <w:t xml:space="preserve">Mensalidade </w:t>
            </w:r>
          </w:p>
        </w:tc>
      </w:tr>
      <w:tr w:rsidR="00EB4A54" w:rsidRPr="006C5D01" w14:paraId="015C1F9D" w14:textId="77777777" w:rsidTr="00F95A91">
        <w:trPr>
          <w:trHeight w:val="630"/>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F17AF5" w14:textId="77777777" w:rsidR="00EB4A54" w:rsidRPr="006C5D01" w:rsidRDefault="00EB4A54" w:rsidP="00F95A91">
            <w:pPr>
              <w:spacing w:before="60" w:after="60" w:line="288" w:lineRule="auto"/>
              <w:jc w:val="center"/>
              <w:rPr>
                <w:rFonts w:ascii="Cambria" w:eastAsia="Cambria" w:hAnsi="Cambria" w:cs="Cambria"/>
              </w:rPr>
            </w:pPr>
            <w:r>
              <w:rPr>
                <w:rFonts w:ascii="Cambria" w:eastAsia="Cambria" w:hAnsi="Cambria" w:cs="Cambria"/>
              </w:rPr>
              <w:t>2</w:t>
            </w:r>
          </w:p>
        </w:tc>
        <w:tc>
          <w:tcPr>
            <w:tcW w:w="8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06D667" w14:textId="77777777" w:rsidR="00EB4A54" w:rsidRDefault="00EB4A54" w:rsidP="00EB4A54">
            <w:pPr>
              <w:spacing w:before="60" w:after="60" w:line="288" w:lineRule="auto"/>
              <w:jc w:val="both"/>
              <w:rPr>
                <w:rFonts w:ascii="Cambria" w:eastAsia="Cambria" w:hAnsi="Cambria" w:cs="Cambria"/>
              </w:rPr>
            </w:pPr>
            <w:proofErr w:type="spellStart"/>
            <w:r>
              <w:rPr>
                <w:rFonts w:ascii="Cambria" w:eastAsia="Cambria" w:hAnsi="Cambria" w:cs="Cambria"/>
              </w:rPr>
              <w:t>Upgrate</w:t>
            </w:r>
            <w:proofErr w:type="spellEnd"/>
          </w:p>
        </w:tc>
      </w:tr>
    </w:tbl>
    <w:p w14:paraId="4635769E" w14:textId="77777777" w:rsidR="00A648E2" w:rsidRPr="006C5D01" w:rsidRDefault="00A648E2" w:rsidP="00A648E2">
      <w:pPr>
        <w:rPr>
          <w:rFonts w:ascii="Cambria" w:eastAsia="Cambria" w:hAnsi="Cambria" w:cs="Cambria"/>
          <w:color w:val="000000"/>
          <w:sz w:val="24"/>
          <w:szCs w:val="24"/>
        </w:rPr>
      </w:pPr>
    </w:p>
    <w:p w14:paraId="0C14682A" w14:textId="77777777"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14:paraId="05ECCD42" w14:textId="77777777" w:rsidR="00A648E2" w:rsidRPr="006C5D01" w:rsidRDefault="00A648E2" w:rsidP="00A648E2">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aquisição </w:t>
      </w:r>
      <w:r w:rsidR="00BF33DF">
        <w:rPr>
          <w:rFonts w:ascii="Cambria" w:eastAsia="Cambria" w:hAnsi="Cambria" w:cs="Cambria"/>
          <w:color w:val="000000"/>
          <w:sz w:val="24"/>
          <w:szCs w:val="24"/>
        </w:rPr>
        <w:t>do serviço</w:t>
      </w:r>
      <w:r w:rsidRPr="006C5D01">
        <w:rPr>
          <w:rFonts w:ascii="Cambria" w:eastAsia="Cambria" w:hAnsi="Cambria" w:cs="Cambria"/>
          <w:color w:val="000000"/>
          <w:sz w:val="24"/>
          <w:szCs w:val="24"/>
        </w:rPr>
        <w:t xml:space="preserve">, será realizada de acordo com a necessidade do </w:t>
      </w:r>
      <w:r>
        <w:rPr>
          <w:rFonts w:ascii="Cambria" w:eastAsia="Cambria" w:hAnsi="Cambria" w:cs="Cambria"/>
          <w:color w:val="000000"/>
          <w:sz w:val="24"/>
          <w:szCs w:val="24"/>
        </w:rPr>
        <w:t>SAAE</w:t>
      </w:r>
      <w:r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O serviço</w:t>
      </w:r>
      <w:r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14:paraId="688B00B7" w14:textId="77777777" w:rsidR="00A648E2" w:rsidRPr="006C5D01" w:rsidRDefault="00BF33DF"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w:t>
      </w:r>
    </w:p>
    <w:p w14:paraId="37A75EF9" w14:textId="77777777" w:rsidR="00A648E2" w:rsidRPr="006C5D01" w:rsidRDefault="00A648E2" w:rsidP="00A648E2">
      <w:pPr>
        <w:spacing w:line="360" w:lineRule="auto"/>
        <w:jc w:val="both"/>
        <w:rPr>
          <w:rFonts w:ascii="Cambria" w:eastAsia="Cambria" w:hAnsi="Cambria" w:cs="Cambria"/>
          <w:color w:val="000000"/>
          <w:sz w:val="24"/>
          <w:szCs w:val="24"/>
        </w:rPr>
      </w:pPr>
    </w:p>
    <w:p w14:paraId="2AF33EEA"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14:paraId="50C1634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004027">
        <w:rPr>
          <w:rFonts w:ascii="Cambria" w:eastAsia="Cambria" w:hAnsi="Cambria" w:cs="Cambria"/>
          <w:color w:val="000000"/>
          <w:sz w:val="24"/>
          <w:szCs w:val="24"/>
        </w:rPr>
        <w:t>serviço</w:t>
      </w:r>
      <w:r w:rsidRPr="006C5D01">
        <w:rPr>
          <w:rFonts w:ascii="Cambria" w:eastAsia="Cambria" w:hAnsi="Cambria" w:cs="Cambria"/>
          <w:color w:val="000000"/>
          <w:sz w:val="24"/>
          <w:szCs w:val="24"/>
        </w:rPr>
        <w:t xml:space="preserve">s devem atender às especificações do descritivo contidos no termo de referência, os </w:t>
      </w:r>
      <w:r w:rsidR="00004027">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14:paraId="260ABDE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14:paraId="05247E0C"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14:paraId="6404432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14:paraId="1290791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14:paraId="4B817BD5"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14:paraId="4178817B"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14:paraId="470C2320" w14:textId="77777777" w:rsidR="00A648E2" w:rsidRPr="006C5D01" w:rsidRDefault="00A648E2" w:rsidP="00A648E2">
      <w:pPr>
        <w:spacing w:line="360" w:lineRule="auto"/>
        <w:jc w:val="both"/>
        <w:rPr>
          <w:rFonts w:ascii="Cambria" w:eastAsia="Cambria" w:hAnsi="Cambria" w:cs="Cambria"/>
          <w:color w:val="000000"/>
          <w:sz w:val="24"/>
          <w:szCs w:val="24"/>
        </w:rPr>
      </w:pPr>
    </w:p>
    <w:p w14:paraId="37AC5B7E" w14:textId="77777777"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14:paraId="6A3EB495" w14:textId="77777777" w:rsidR="00A648E2" w:rsidRPr="006C5D01" w:rsidRDefault="00A648E2" w:rsidP="00A648E2">
      <w:pPr>
        <w:rPr>
          <w:rFonts w:ascii="Cambria" w:eastAsia="Cambria" w:hAnsi="Cambria" w:cs="Cambria"/>
          <w:b/>
          <w:sz w:val="24"/>
          <w:szCs w:val="24"/>
        </w:rPr>
      </w:pPr>
    </w:p>
    <w:p w14:paraId="02A2A0BC" w14:textId="77777777"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Não haverá a necessidade de amostras das mercadorias sendo elas compatível com o descritivo da licitação sendo que, se houver divergência, será comunicado a empresa</w:t>
      </w:r>
      <w:r w:rsidR="009623E2">
        <w:rPr>
          <w:rFonts w:ascii="Cambria" w:eastAsia="Cambria" w:hAnsi="Cambria" w:cs="Cambria"/>
          <w:sz w:val="24"/>
          <w:szCs w:val="24"/>
        </w:rPr>
        <w:t xml:space="preserve"> e por ser serviço</w:t>
      </w:r>
      <w:r w:rsidRPr="006C5D01">
        <w:rPr>
          <w:rFonts w:ascii="Cambria" w:eastAsia="Cambria" w:hAnsi="Cambria" w:cs="Cambria"/>
          <w:sz w:val="24"/>
          <w:szCs w:val="24"/>
        </w:rPr>
        <w:t>.</w:t>
      </w:r>
    </w:p>
    <w:p w14:paraId="33FCEF4A" w14:textId="77777777" w:rsidR="00A648E2" w:rsidRPr="006C5D01" w:rsidRDefault="00A648E2" w:rsidP="00A648E2">
      <w:pPr>
        <w:rPr>
          <w:rFonts w:ascii="Cambria" w:eastAsia="Cambria" w:hAnsi="Cambria" w:cs="Cambria"/>
          <w:color w:val="000000"/>
          <w:sz w:val="24"/>
          <w:szCs w:val="24"/>
        </w:rPr>
      </w:pPr>
    </w:p>
    <w:p w14:paraId="0974BD0F"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14:paraId="5E85A46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14:paraId="48007628" w14:textId="77777777" w:rsidR="00A648E2" w:rsidRPr="006C5D01" w:rsidRDefault="00A648E2" w:rsidP="00A648E2">
      <w:pPr>
        <w:spacing w:line="360" w:lineRule="auto"/>
        <w:jc w:val="both"/>
        <w:rPr>
          <w:rFonts w:ascii="Cambria" w:eastAsia="Cambria" w:hAnsi="Cambria" w:cs="Cambria"/>
          <w:color w:val="000000"/>
          <w:sz w:val="24"/>
          <w:szCs w:val="24"/>
        </w:rPr>
      </w:pPr>
    </w:p>
    <w:p w14:paraId="54C1B09A"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14:paraId="25A0D625"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14:paraId="264406E2"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14:paraId="1AC8E3D8"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14:paraId="27D9A3D8"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14:paraId="636F6F28"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14:paraId="45083BA1"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14:paraId="67E4711E"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14:paraId="41D47FBD"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14:paraId="10354876"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14:paraId="67297F54" w14:textId="77777777" w:rsidR="00A648E2" w:rsidRPr="006C5D01" w:rsidRDefault="00A648E2" w:rsidP="00A648E2">
      <w:pPr>
        <w:spacing w:line="360" w:lineRule="auto"/>
        <w:jc w:val="both"/>
        <w:rPr>
          <w:rFonts w:ascii="Cambria" w:eastAsia="Cambria" w:hAnsi="Cambria" w:cs="Cambria"/>
          <w:color w:val="000000"/>
          <w:sz w:val="24"/>
          <w:szCs w:val="24"/>
        </w:rPr>
      </w:pPr>
    </w:p>
    <w:p w14:paraId="3E0696A7"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14:paraId="1DCE560B"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fornecimento do serviço</w:t>
      </w:r>
      <w:r w:rsidR="009623E2">
        <w:rPr>
          <w:rFonts w:ascii="Cambria" w:eastAsia="Cambria" w:hAnsi="Cambria" w:cs="Cambria"/>
          <w:color w:val="000000"/>
          <w:sz w:val="24"/>
          <w:szCs w:val="24"/>
        </w:rPr>
        <w:t xml:space="preserve"> todo o dia 10 de cada mês</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14:paraId="0FC7A184" w14:textId="77777777"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14:paraId="788BFD4C"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14:paraId="2D813D3A" w14:textId="77777777" w:rsidR="00A648E2" w:rsidRPr="006C5D01" w:rsidRDefault="00004027"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Por ser tratar de uma inexigibilidad</w:t>
      </w:r>
      <w:r w:rsidR="00EB4A54">
        <w:rPr>
          <w:rFonts w:ascii="Cambria" w:eastAsia="Cambria" w:hAnsi="Cambria" w:cs="Cambria"/>
          <w:color w:val="000000"/>
          <w:sz w:val="24"/>
          <w:szCs w:val="24"/>
        </w:rPr>
        <w:t>e e sendo a contratada já é uma prestadora</w:t>
      </w:r>
      <w:r>
        <w:rPr>
          <w:rFonts w:ascii="Cambria" w:eastAsia="Cambria" w:hAnsi="Cambria" w:cs="Cambria"/>
          <w:color w:val="000000"/>
          <w:sz w:val="24"/>
          <w:szCs w:val="24"/>
        </w:rPr>
        <w:t xml:space="preserve"> do serviço na ci</w:t>
      </w:r>
      <w:r w:rsidR="00EB4A54">
        <w:rPr>
          <w:rFonts w:ascii="Cambria" w:eastAsia="Cambria" w:hAnsi="Cambria" w:cs="Cambria"/>
          <w:color w:val="000000"/>
          <w:sz w:val="24"/>
          <w:szCs w:val="24"/>
        </w:rPr>
        <w:t xml:space="preserve">dade de Alvorada do Sul </w:t>
      </w:r>
      <w:proofErr w:type="spellStart"/>
      <w:proofErr w:type="gramStart"/>
      <w:r w:rsidR="00EB4A54">
        <w:rPr>
          <w:rFonts w:ascii="Cambria" w:eastAsia="Cambria" w:hAnsi="Cambria" w:cs="Cambria"/>
          <w:color w:val="000000"/>
          <w:sz w:val="24"/>
          <w:szCs w:val="24"/>
        </w:rPr>
        <w:t>Parana,</w:t>
      </w:r>
      <w:r>
        <w:rPr>
          <w:rFonts w:ascii="Cambria" w:eastAsia="Cambria" w:hAnsi="Cambria" w:cs="Cambria"/>
          <w:color w:val="000000"/>
          <w:sz w:val="24"/>
          <w:szCs w:val="24"/>
        </w:rPr>
        <w:t>não</w:t>
      </w:r>
      <w:proofErr w:type="spellEnd"/>
      <w:proofErr w:type="gramEnd"/>
      <w:r>
        <w:rPr>
          <w:rFonts w:ascii="Cambria" w:eastAsia="Cambria" w:hAnsi="Cambria" w:cs="Cambria"/>
          <w:color w:val="000000"/>
          <w:sz w:val="24"/>
          <w:szCs w:val="24"/>
        </w:rPr>
        <w:t xml:space="preserve"> haverá disputa por preço. </w:t>
      </w:r>
    </w:p>
    <w:p w14:paraId="5216B435" w14:textId="77777777" w:rsidR="00A648E2" w:rsidRPr="006C5D01" w:rsidRDefault="00A648E2" w:rsidP="00A648E2">
      <w:pPr>
        <w:spacing w:line="360" w:lineRule="auto"/>
        <w:jc w:val="both"/>
        <w:rPr>
          <w:rFonts w:ascii="Cambria" w:eastAsia="Cambria" w:hAnsi="Cambria" w:cs="Cambria"/>
          <w:color w:val="000000"/>
          <w:sz w:val="24"/>
          <w:szCs w:val="24"/>
        </w:rPr>
      </w:pPr>
    </w:p>
    <w:p w14:paraId="4C0C42CC"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14:paraId="0D6B7B62"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14:paraId="6F6907F6" w14:textId="77777777" w:rsidR="00A648E2" w:rsidRPr="006C5D01" w:rsidRDefault="00A648E2" w:rsidP="00A648E2">
      <w:pPr>
        <w:spacing w:line="360" w:lineRule="auto"/>
        <w:jc w:val="both"/>
        <w:rPr>
          <w:rFonts w:ascii="Cambria" w:eastAsia="Cambria" w:hAnsi="Cambria" w:cs="Cambria"/>
          <w:color w:val="000000"/>
          <w:sz w:val="24"/>
          <w:szCs w:val="24"/>
        </w:rPr>
      </w:pPr>
    </w:p>
    <w:p w14:paraId="2B634C66"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14:paraId="1B76AB6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14:paraId="329ACA7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14:paraId="7756F41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14:paraId="5DDF695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14:paraId="5ED98EB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14:paraId="5B44E755"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14:paraId="7D6B9472"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14:paraId="232AE130"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14:paraId="3F0DA702"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Fornecer o objeto em tela rigorosamente no prazo pactuado, mediante requisição da ordem de início, cumprindo com todas as demais obrigações impostas pelo presente Termo e pela legislação aplicável.</w:t>
      </w:r>
    </w:p>
    <w:p w14:paraId="09CCD6E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14:paraId="125C902B"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14:paraId="041382F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14:paraId="7B93D9D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14:paraId="7218784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14:paraId="2FCB02C0" w14:textId="77777777" w:rsidR="00A648E2" w:rsidRPr="006C5D01" w:rsidRDefault="00A648E2" w:rsidP="00A648E2">
      <w:pPr>
        <w:spacing w:line="360" w:lineRule="auto"/>
        <w:jc w:val="both"/>
        <w:rPr>
          <w:rFonts w:ascii="Cambria" w:eastAsia="Cambria" w:hAnsi="Cambria" w:cs="Cambria"/>
          <w:color w:val="000000"/>
          <w:sz w:val="24"/>
          <w:szCs w:val="24"/>
        </w:rPr>
      </w:pPr>
    </w:p>
    <w:p w14:paraId="1A355A31" w14:textId="77777777"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14:paraId="0BD1C67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14:paraId="09B8AE90"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Realizar a fiscalização do fornecimento a ser prestado; </w:t>
      </w:r>
    </w:p>
    <w:p w14:paraId="0D0D752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14:paraId="5854EEE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14:paraId="4D5EE10C" w14:textId="77777777"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EB4A54">
        <w:rPr>
          <w:rFonts w:ascii="Cambria" w:eastAsia="Cambria" w:hAnsi="Cambria" w:cs="Cambria"/>
          <w:sz w:val="24"/>
          <w:szCs w:val="24"/>
        </w:rPr>
        <w:t>17</w:t>
      </w:r>
      <w:r w:rsidR="009623E2">
        <w:rPr>
          <w:rFonts w:ascii="Cambria" w:eastAsia="Cambria" w:hAnsi="Cambria" w:cs="Cambria"/>
          <w:sz w:val="24"/>
          <w:szCs w:val="24"/>
        </w:rPr>
        <w:t xml:space="preserve"> </w:t>
      </w:r>
      <w:r w:rsidRPr="006C5D01">
        <w:rPr>
          <w:rFonts w:ascii="Cambria" w:eastAsia="Cambria" w:hAnsi="Cambria" w:cs="Cambria"/>
          <w:sz w:val="24"/>
          <w:szCs w:val="24"/>
        </w:rPr>
        <w:t>de</w:t>
      </w:r>
      <w:r>
        <w:rPr>
          <w:rFonts w:ascii="Cambria" w:eastAsia="Cambria" w:hAnsi="Cambria" w:cs="Cambria"/>
          <w:sz w:val="24"/>
          <w:szCs w:val="24"/>
        </w:rPr>
        <w:t xml:space="preserve"> </w:t>
      </w:r>
      <w:r w:rsidR="009623E2">
        <w:rPr>
          <w:rFonts w:ascii="Cambria" w:eastAsia="Cambria" w:hAnsi="Cambria" w:cs="Cambria"/>
          <w:sz w:val="24"/>
          <w:szCs w:val="24"/>
        </w:rPr>
        <w:t>junho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14:paraId="4BEC793A" w14:textId="77777777" w:rsidR="00A648E2" w:rsidRPr="006C5D01" w:rsidRDefault="00A648E2" w:rsidP="00A648E2">
      <w:pPr>
        <w:spacing w:line="360" w:lineRule="auto"/>
        <w:jc w:val="right"/>
        <w:rPr>
          <w:rFonts w:ascii="Cambria" w:eastAsia="Cambria" w:hAnsi="Cambria" w:cs="Cambria"/>
          <w:sz w:val="24"/>
          <w:szCs w:val="24"/>
        </w:rPr>
      </w:pPr>
    </w:p>
    <w:p w14:paraId="49F3872D" w14:textId="77777777" w:rsidR="00A648E2" w:rsidRDefault="00A648E2" w:rsidP="00A648E2">
      <w:pPr>
        <w:spacing w:line="360" w:lineRule="auto"/>
      </w:pPr>
      <w:r>
        <w:rPr>
          <w:noProof/>
        </w:rPr>
        <mc:AlternateContent>
          <mc:Choice Requires="wpg">
            <w:drawing>
              <wp:inline distT="0" distB="0" distL="0" distR="0" wp14:anchorId="491F6843" wp14:editId="54EFB7DE">
                <wp:extent cx="2889250" cy="840324"/>
                <wp:effectExtent l="0" t="0" r="6350" b="0"/>
                <wp:docPr id="19" name="Agrupar 19"/>
                <wp:cNvGraphicFramePr/>
                <a:graphic xmlns:a="http://schemas.openxmlformats.org/drawingml/2006/main">
                  <a:graphicData uri="http://schemas.microsoft.com/office/word/2010/wordprocessingGroup">
                    <wpg:wgp>
                      <wpg:cNvGrpSpPr/>
                      <wpg:grpSpPr>
                        <a:xfrm>
                          <a:off x="0" y="0"/>
                          <a:ext cx="2889250" cy="840324"/>
                          <a:chOff x="3892825" y="3366000"/>
                          <a:chExt cx="2893175" cy="828000"/>
                        </a:xfrm>
                      </wpg:grpSpPr>
                      <wps:wsp>
                        <wps:cNvPr id="20" name="Retângulo 20"/>
                        <wps:cNvSpPr/>
                        <wps:spPr>
                          <a:xfrm>
                            <a:off x="3892825" y="3366000"/>
                            <a:ext cx="2893175" cy="828000"/>
                          </a:xfrm>
                          <a:prstGeom prst="rect">
                            <a:avLst/>
                          </a:prstGeom>
                          <a:noFill/>
                          <a:ln>
                            <a:noFill/>
                          </a:ln>
                        </wps:spPr>
                        <wps:txbx>
                          <w:txbxContent>
                            <w:p w14:paraId="444FF05C" w14:textId="77777777" w:rsidR="00A648E2" w:rsidRDefault="00A648E2" w:rsidP="00A648E2">
                              <w:pPr>
                                <w:textDirection w:val="btLr"/>
                              </w:pPr>
                            </w:p>
                          </w:txbxContent>
                        </wps:txbx>
                        <wps:bodyPr spcFirstLastPara="1" wrap="square" lIns="91425" tIns="91425" rIns="91425" bIns="91425" anchor="ctr" anchorCtr="0">
                          <a:noAutofit/>
                        </wps:bodyPr>
                      </wps:wsp>
                      <wps:wsp>
                        <wps:cNvPr id="22" name="Conector de Seta Reta 22"/>
                        <wps:cNvCnPr/>
                        <wps:spPr>
                          <a:xfrm>
                            <a:off x="3892825" y="3468525"/>
                            <a:ext cx="2874600" cy="0"/>
                          </a:xfrm>
                          <a:prstGeom prst="straightConnector1">
                            <a:avLst/>
                          </a:prstGeom>
                          <a:noFill/>
                          <a:ln w="9525" cap="flat" cmpd="sng">
                            <a:solidFill>
                              <a:srgbClr val="000000"/>
                            </a:solidFill>
                            <a:prstDash val="solid"/>
                            <a:round/>
                            <a:headEnd type="none" w="sm" len="sm"/>
                            <a:tailEnd type="none" w="sm" len="sm"/>
                          </a:ln>
                        </wps:spPr>
                        <wps:bodyPr/>
                      </wps:wsp>
                    </wpg:wgp>
                  </a:graphicData>
                </a:graphic>
              </wp:inline>
            </w:drawing>
          </mc:Choice>
          <mc:Fallback>
            <w:pict>
              <v:group w14:anchorId="60CD5B22" id="Agrupar 19" o:spid="_x0000_s1026" style="width:227.5pt;height:66.15pt;mso-position-horizontal-relative:char;mso-position-vertical-relative:line" coordorigin="38928,33660" coordsize="2893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">
                <v:rect id="Retângulo 20" o:spid="_x0000_s1027" style="position:absolute;left:38928;top:33660;width:28932;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shapetype id="_x0000_t32" coordsize="21600,21600" o:spt="32" o:oned="t" path="m,l21600,21600e" filled="f">
                  <v:path arrowok="t" fillok="f" o:connecttype="none"/>
                  <o:lock v:ext="edit" shapetype="t"/>
                </v:shapetype>
                <v:shape id="Conector de Seta Reta 22" o:spid="_x0000_s1028" type="#_x0000_t32" style="position:absolute;left:38928;top:34685;width:28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">
                  <v:stroke startarrowwidth="narrow" startarrowlength="short" endarrowwidth="narrow" endarrowlength="short"/>
                </v:shape>
                <w10:anchorlock/>
              </v:group>
            </w:pict>
          </mc:Fallback>
        </mc:AlternateContent>
      </w:r>
    </w:p>
    <w:p w14:paraId="1E95B2C6" w14:textId="77777777"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0B6D9E36" wp14:editId="075B39F0">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14:paraId="1D31B6CD" w14:textId="77777777" w:rsidR="00A648E2" w:rsidRDefault="00A648E2"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14:paraId="57AEC4E2" w14:textId="77777777" w:rsidR="00A648E2" w:rsidRDefault="00A648E2" w:rsidP="00A648E2">
                                <w:pPr>
                                  <w:jc w:val="center"/>
                                  <w:textDirection w:val="btLr"/>
                                </w:pPr>
                              </w:p>
                              <w:p w14:paraId="66C405F0" w14:textId="77777777" w:rsidR="00A648E2" w:rsidRDefault="00A648E2" w:rsidP="00A648E2">
                                <w:pPr>
                                  <w:jc w:val="center"/>
                                  <w:textDirection w:val="btLr"/>
                                </w:pPr>
                                <w:r>
                                  <w:rPr>
                                    <w:rFonts w:ascii="Cambria" w:eastAsia="Cambria" w:hAnsi="Cambria" w:cs="Cambria"/>
                                    <w:b/>
                                    <w:color w:val="000000"/>
                                    <w:sz w:val="24"/>
                                  </w:rPr>
                                  <w:t>NATAL ALVES DA SILVA</w:t>
                                </w:r>
                              </w:p>
                              <w:p w14:paraId="0924C15A" w14:textId="77777777" w:rsidR="00A648E2" w:rsidRDefault="00A648E2" w:rsidP="00A648E2">
                                <w:pPr>
                                  <w:jc w:val="center"/>
                                  <w:textDirection w:val="btLr"/>
                                </w:pPr>
                                <w:r>
                                  <w:rPr>
                                    <w:rFonts w:ascii="Cambria" w:eastAsia="Cambria" w:hAnsi="Cambria" w:cs="Cambria"/>
                                    <w:color w:val="000000"/>
                                    <w:sz w:val="20"/>
                                  </w:rPr>
                                  <w:t>DIRETOR SUPERINTENDENTE SAAE</w:t>
                                </w:r>
                              </w:p>
                              <w:p w14:paraId="621A4228" w14:textId="77777777" w:rsidR="00A648E2" w:rsidRDefault="00A648E2" w:rsidP="00A648E2">
                                <w:pPr>
                                  <w:jc w:val="center"/>
                                  <w:textDirection w:val="btLr"/>
                                </w:pPr>
                                <w:r>
                                  <w:rPr>
                                    <w:rFonts w:ascii="Cambria" w:eastAsia="Cambria" w:hAnsi="Cambria" w:cs="Cambria"/>
                                    <w:color w:val="000000"/>
                                    <w:sz w:val="20"/>
                                  </w:rPr>
                                  <w:t>SERVIÇO AUTÔNOMO DE ÁGUA E ESGOTO</w:t>
                                </w:r>
                              </w:p>
                              <w:p w14:paraId="2468D5AB" w14:textId="77777777" w:rsidR="00A648E2" w:rsidRDefault="00A648E2"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9"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">
                <v:group id="Agrupar 3" o:spid="_x0000_s1030"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1"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648E2" w:rsidRDefault="00A648E2" w:rsidP="00A648E2">
                          <w:pPr>
                            <w:textDirection w:val="btLr"/>
                          </w:pPr>
                        </w:p>
                      </w:txbxContent>
                    </v:textbox>
                  </v:rect>
                  <v:rect id="Retângulo 6" o:spid="_x0000_s1032"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A648E2" w:rsidRDefault="00A648E2" w:rsidP="00A648E2">
                          <w:pPr>
                            <w:jc w:val="center"/>
                            <w:textDirection w:val="btLr"/>
                          </w:pPr>
                        </w:p>
                        <w:p w:rsidR="00A648E2" w:rsidRDefault="00A648E2" w:rsidP="00A648E2">
                          <w:pPr>
                            <w:jc w:val="center"/>
                            <w:textDirection w:val="btLr"/>
                          </w:pPr>
                          <w:r>
                            <w:rPr>
                              <w:rFonts w:ascii="Cambria" w:eastAsia="Cambria" w:hAnsi="Cambria" w:cs="Cambria"/>
                              <w:b/>
                              <w:color w:val="000000"/>
                              <w:sz w:val="24"/>
                            </w:rPr>
                            <w:t>NATAL ALVES DA SILVA</w:t>
                          </w:r>
                        </w:p>
                        <w:p w:rsidR="00A648E2" w:rsidRDefault="00A648E2" w:rsidP="00A648E2">
                          <w:pPr>
                            <w:jc w:val="center"/>
                            <w:textDirection w:val="btLr"/>
                          </w:pPr>
                          <w:r>
                            <w:rPr>
                              <w:rFonts w:ascii="Cambria" w:eastAsia="Cambria" w:hAnsi="Cambria" w:cs="Cambria"/>
                              <w:color w:val="000000"/>
                              <w:sz w:val="20"/>
                            </w:rPr>
                            <w:t>DIRETOR SUPERINTENDENTE SAAE</w:t>
                          </w:r>
                        </w:p>
                        <w:p w:rsidR="00A648E2" w:rsidRDefault="00A648E2" w:rsidP="00A648E2">
                          <w:pPr>
                            <w:jc w:val="center"/>
                            <w:textDirection w:val="btLr"/>
                          </w:pPr>
                          <w:r>
                            <w:rPr>
                              <w:rFonts w:ascii="Cambria" w:eastAsia="Cambria" w:hAnsi="Cambria" w:cs="Cambria"/>
                              <w:color w:val="000000"/>
                              <w:sz w:val="20"/>
                            </w:rPr>
                            <w:t>SERVIÇO AUTÔNOMO DE ÁGUA E ESGOTO</w:t>
                          </w:r>
                        </w:p>
                        <w:p w:rsidR="00A648E2" w:rsidRDefault="00A648E2" w:rsidP="00A648E2">
                          <w:pPr>
                            <w:textDirection w:val="btLr"/>
                          </w:pPr>
                        </w:p>
                      </w:txbxContent>
                    </v:textbox>
                  </v:rect>
                  <v:shape id="Conector de Seta Reta 7" o:spid="_x0000_s1033"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14:paraId="6FF81F35" w14:textId="77777777" w:rsidR="00A648E2" w:rsidRPr="006C5D01" w:rsidRDefault="00A648E2" w:rsidP="00A648E2">
      <w:pPr>
        <w:spacing w:line="360" w:lineRule="auto"/>
        <w:rPr>
          <w:rFonts w:ascii="Calibri" w:eastAsia="Calibri" w:hAnsi="Calibri" w:cs="Calibri"/>
        </w:rPr>
      </w:pPr>
    </w:p>
    <w:p w14:paraId="1CD226D2" w14:textId="77777777"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51CA6821" wp14:editId="5D099FD0">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14:paraId="136D0FA8" w14:textId="77777777" w:rsidR="00A648E2" w:rsidRDefault="00A648E2"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14:paraId="0D914B7F" w14:textId="77777777" w:rsidR="00A648E2" w:rsidRDefault="00A648E2"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14:paraId="0BE8CA53" w14:textId="77777777" w:rsidR="00A648E2" w:rsidRDefault="00A648E2" w:rsidP="00A648E2">
                                  <w:pPr>
                                    <w:jc w:val="both"/>
                                    <w:textDirection w:val="btLr"/>
                                  </w:pPr>
                                </w:p>
                                <w:p w14:paraId="7CA678D0" w14:textId="77777777" w:rsidR="00A648E2" w:rsidRDefault="00A648E2" w:rsidP="00A648E2">
                                  <w:pPr>
                                    <w:jc w:val="both"/>
                                    <w:textDirection w:val="btLr"/>
                                  </w:pPr>
                                  <w:r>
                                    <w:rPr>
                                      <w:rFonts w:ascii="Cambria" w:eastAsia="Cambria" w:hAnsi="Cambria" w:cs="Cambria"/>
                                      <w:i/>
                                      <w:color w:val="000000"/>
                                      <w:sz w:val="18"/>
                                    </w:rPr>
                                    <w:t>Elaborado por:</w:t>
                                  </w:r>
                                </w:p>
                                <w:p w14:paraId="1975B947" w14:textId="77777777" w:rsidR="00A648E2" w:rsidRDefault="00A648E2" w:rsidP="00A648E2">
                                  <w:pPr>
                                    <w:jc w:val="center"/>
                                    <w:textDirection w:val="btLr"/>
                                  </w:pPr>
                                  <w:r>
                                    <w:rPr>
                                      <w:rFonts w:ascii="Cambria" w:eastAsia="Cambria" w:hAnsi="Cambria" w:cs="Cambria"/>
                                      <w:b/>
                                      <w:color w:val="000000"/>
                                      <w:sz w:val="24"/>
                                    </w:rPr>
                                    <w:t>LUIZ GUSTAVO MANOEL</w:t>
                                  </w:r>
                                </w:p>
                                <w:p w14:paraId="54519A0E" w14:textId="77777777"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598FECF1" w14:textId="77777777" w:rsidR="00A648E2" w:rsidRDefault="00A648E2" w:rsidP="00A648E2">
                                  <w:pPr>
                                    <w:jc w:val="center"/>
                                    <w:textDirection w:val="btLr"/>
                                    <w:rPr>
                                      <w:rFonts w:ascii="Cambria" w:eastAsia="Cambria" w:hAnsi="Cambria" w:cs="Cambria"/>
                                      <w:color w:val="000000"/>
                                      <w:sz w:val="20"/>
                                    </w:rPr>
                                  </w:pPr>
                                </w:p>
                                <w:p w14:paraId="0181BBF0" w14:textId="77777777" w:rsidR="00A648E2" w:rsidRDefault="00A648E2"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4"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">
                <v:group id="Agrupar 35" o:spid="_x0000_s1035"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6"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A648E2" w:rsidRDefault="00A648E2" w:rsidP="00A648E2">
                          <w:pPr>
                            <w:textDirection w:val="btLr"/>
                          </w:pPr>
                        </w:p>
                      </w:txbxContent>
                    </v:textbox>
                  </v:rect>
                  <v:group id="Agrupar 37" o:spid="_x0000_s1037"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8"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A648E2" w:rsidRDefault="00A648E2" w:rsidP="00A648E2">
                            <w:pPr>
                              <w:textDirection w:val="btLr"/>
                            </w:pPr>
                          </w:p>
                        </w:txbxContent>
                      </v:textbox>
                    </v:rect>
                    <v:rect id="Retângulo 39" o:spid="_x0000_s1039"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A648E2" w:rsidRDefault="00A648E2" w:rsidP="00A648E2">
                            <w:pPr>
                              <w:jc w:val="both"/>
                              <w:textDirection w:val="btLr"/>
                            </w:pPr>
                          </w:p>
                          <w:p w:rsidR="00A648E2" w:rsidRDefault="00A648E2" w:rsidP="00A648E2">
                            <w:pPr>
                              <w:jc w:val="both"/>
                              <w:textDirection w:val="btLr"/>
                            </w:pPr>
                            <w:r>
                              <w:rPr>
                                <w:rFonts w:ascii="Cambria" w:eastAsia="Cambria" w:hAnsi="Cambria" w:cs="Cambria"/>
                                <w:i/>
                                <w:color w:val="000000"/>
                                <w:sz w:val="18"/>
                              </w:rPr>
                              <w:t>Elaborado por:</w:t>
                            </w:r>
                          </w:p>
                          <w:p w:rsidR="00A648E2" w:rsidRDefault="00A648E2" w:rsidP="00A648E2">
                            <w:pPr>
                              <w:jc w:val="center"/>
                              <w:textDirection w:val="btLr"/>
                            </w:pPr>
                            <w:r>
                              <w:rPr>
                                <w:rFonts w:ascii="Cambria" w:eastAsia="Cambria" w:hAnsi="Cambria" w:cs="Cambria"/>
                                <w:b/>
                                <w:color w:val="000000"/>
                                <w:sz w:val="24"/>
                              </w:rPr>
                              <w:t>LUIZ GUSTAVO MANOEL</w:t>
                            </w:r>
                          </w:p>
                          <w:p w:rsidR="00A648E2" w:rsidRDefault="00A648E2"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A648E2" w:rsidRDefault="00A648E2" w:rsidP="00A648E2">
                            <w:pPr>
                              <w:jc w:val="center"/>
                              <w:textDirection w:val="btLr"/>
                              <w:rPr>
                                <w:rFonts w:ascii="Cambria" w:eastAsia="Cambria" w:hAnsi="Cambria" w:cs="Cambria"/>
                                <w:color w:val="000000"/>
                                <w:sz w:val="20"/>
                              </w:rPr>
                            </w:pPr>
                          </w:p>
                          <w:p w:rsidR="00A648E2" w:rsidRDefault="00A648E2" w:rsidP="00A648E2">
                            <w:pPr>
                              <w:jc w:val="center"/>
                              <w:textDirection w:val="btLr"/>
                            </w:pPr>
                          </w:p>
                        </w:txbxContent>
                      </v:textbox>
                    </v:rect>
                    <v:shape id="Conector de Seta Reta 40" o:spid="_x0000_s1040"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14:paraId="452815CA"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2DD8B582"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6DB80EDF" w14:textId="77777777"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B089" w14:textId="77777777" w:rsidR="0074659A" w:rsidRDefault="0074659A">
      <w:r>
        <w:separator/>
      </w:r>
    </w:p>
  </w:endnote>
  <w:endnote w:type="continuationSeparator" w:id="0">
    <w:p w14:paraId="53DB8C9B" w14:textId="77777777" w:rsidR="0074659A" w:rsidRDefault="0074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Light">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467291"/>
      <w:docPartObj>
        <w:docPartGallery w:val="Page Numbers (Bottom of Page)"/>
        <w:docPartUnique/>
      </w:docPartObj>
    </w:sdtPr>
    <w:sdtEndPr/>
    <w:sdtContent>
      <w:p w14:paraId="287A90B5" w14:textId="77777777" w:rsidR="0051328E" w:rsidRDefault="005D072E">
        <w:pPr>
          <w:pStyle w:val="Rodap"/>
          <w:jc w:val="right"/>
        </w:pPr>
        <w:r>
          <w:fldChar w:fldCharType="begin"/>
        </w:r>
        <w:r>
          <w:instrText xml:space="preserve"> PAGE   \* MERGEFORMAT </w:instrText>
        </w:r>
        <w:r>
          <w:fldChar w:fldCharType="separate"/>
        </w:r>
        <w:r w:rsidR="00EB4A54">
          <w:rPr>
            <w:noProof/>
          </w:rPr>
          <w:t>7</w:t>
        </w:r>
        <w:r>
          <w:rPr>
            <w:noProof/>
          </w:rPr>
          <w:fldChar w:fldCharType="end"/>
        </w:r>
      </w:p>
    </w:sdtContent>
  </w:sdt>
  <w:p w14:paraId="010E4088" w14:textId="77777777"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50D5" w14:textId="77777777" w:rsidR="0074659A" w:rsidRDefault="0074659A">
      <w:r>
        <w:separator/>
      </w:r>
    </w:p>
  </w:footnote>
  <w:footnote w:type="continuationSeparator" w:id="0">
    <w:p w14:paraId="58A6E5D0" w14:textId="77777777" w:rsidR="0074659A" w:rsidRDefault="0074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10CAE" w14:textId="77777777" w:rsidR="0051328E" w:rsidRDefault="000D5AF3">
    <w:pPr>
      <w:pStyle w:val="Cabealho"/>
      <w:framePr w:wrap="around" w:vAnchor="text" w:hAnchor="margin" w:xAlign="right" w:y="1"/>
      <w:rPr>
        <w:rStyle w:val="Nmerodepgina"/>
      </w:rPr>
    </w:pPr>
    <w:r>
      <w:rPr>
        <w:noProof/>
      </w:rPr>
      <w:pict w14:anchorId="02297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14:paraId="55903FE8" w14:textId="77777777"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10A6C" w14:textId="77777777"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EB4A54">
      <w:rPr>
        <w:rStyle w:val="Nmerodepgina"/>
        <w:noProof/>
      </w:rPr>
      <w:t>7</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14:paraId="40B808AD" w14:textId="77777777">
      <w:trPr>
        <w:trHeight w:val="1166"/>
      </w:trPr>
      <w:tc>
        <w:tcPr>
          <w:tcW w:w="2238" w:type="dxa"/>
          <w:tcBorders>
            <w:bottom w:val="single" w:sz="18" w:space="0" w:color="000080"/>
          </w:tcBorders>
        </w:tcPr>
        <w:p w14:paraId="7A69981D" w14:textId="77777777"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14:anchorId="0BBB8C4B" wp14:editId="3501D5DE">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14:anchorId="22766E19" wp14:editId="346A721D">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9F22" w14:textId="77777777"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7E3CB39D" w14:textId="77777777"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14:paraId="79C38D2F" w14:textId="77777777"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14:paraId="5E0C4DB7" w14:textId="77777777"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14:paraId="190E593F" w14:textId="77777777"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6E19" id="_x0000_t202" coordsize="21600,21600" o:spt="202" path="m,l,21600r21600,l21600,xe">
                    <v:stroke joinstyle="miter"/>
                    <v:path gradientshapeok="t" o:connecttype="rect"/>
                  </v:shapetype>
                  <v:shape id="Text Box 4" o:spid="_x0000_s1041"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" filled="f" fillcolor="#bbe0e3" stroked="f">
                    <v:textbox>
                      <w:txbxContent>
                        <w:p w14:paraId="35439F22" w14:textId="77777777"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7E3CB39D" w14:textId="77777777"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14:paraId="79C38D2F" w14:textId="77777777"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14:paraId="5E0C4DB7" w14:textId="77777777"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14:paraId="190E593F" w14:textId="77777777"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14:paraId="3FFD8A4B" w14:textId="77777777" w:rsidR="0051328E" w:rsidRDefault="0051328E">
          <w:pPr>
            <w:pStyle w:val="TextosemFormatao"/>
            <w:jc w:val="center"/>
            <w:outlineLvl w:val="0"/>
            <w:rPr>
              <w:rFonts w:ascii="Arial Rounded MT Bold" w:hAnsi="Arial Rounded MT Bold"/>
            </w:rPr>
          </w:pPr>
        </w:p>
        <w:p w14:paraId="7CAF3F87" w14:textId="77777777" w:rsidR="0051328E" w:rsidRDefault="0051328E">
          <w:pPr>
            <w:pStyle w:val="TextosemFormatao"/>
            <w:jc w:val="center"/>
            <w:outlineLvl w:val="0"/>
            <w:rPr>
              <w:rFonts w:ascii="Arial Rounded MT Bold" w:hAnsi="Arial Rounded MT Bold"/>
            </w:rPr>
          </w:pPr>
        </w:p>
        <w:p w14:paraId="6A25078A" w14:textId="77777777" w:rsidR="0051328E" w:rsidRDefault="0051328E">
          <w:pPr>
            <w:pStyle w:val="TextosemFormatao"/>
            <w:jc w:val="center"/>
            <w:outlineLvl w:val="0"/>
            <w:rPr>
              <w:rFonts w:ascii="Arial Rounded MT Bold" w:hAnsi="Arial Rounded MT Bold"/>
            </w:rPr>
          </w:pPr>
        </w:p>
        <w:p w14:paraId="299F2FBF" w14:textId="77777777" w:rsidR="0051328E" w:rsidRDefault="0051328E">
          <w:pPr>
            <w:pStyle w:val="TextosemFormatao"/>
            <w:jc w:val="center"/>
            <w:outlineLvl w:val="0"/>
            <w:rPr>
              <w:rFonts w:ascii="Arial Rounded MT Bold" w:hAnsi="Arial Rounded MT Bold"/>
            </w:rPr>
          </w:pPr>
        </w:p>
        <w:p w14:paraId="5AF77A77" w14:textId="77777777" w:rsidR="0051328E" w:rsidRDefault="0051328E">
          <w:pPr>
            <w:pStyle w:val="TextosemFormatao"/>
            <w:jc w:val="center"/>
            <w:outlineLvl w:val="0"/>
            <w:rPr>
              <w:rFonts w:ascii="Arial Rounded MT Bold" w:hAnsi="Arial Rounded MT Bold"/>
            </w:rPr>
          </w:pPr>
        </w:p>
        <w:p w14:paraId="63221D64" w14:textId="77777777" w:rsidR="0051328E" w:rsidRDefault="0051328E">
          <w:pPr>
            <w:pStyle w:val="TextosemFormatao"/>
            <w:jc w:val="center"/>
            <w:outlineLvl w:val="0"/>
            <w:rPr>
              <w:rFonts w:ascii="Arial Rounded MT Bold" w:hAnsi="Arial Rounded MT Bold"/>
            </w:rPr>
          </w:pPr>
        </w:p>
        <w:p w14:paraId="2ECE7054" w14:textId="77777777" w:rsidR="0051328E" w:rsidRDefault="0051328E">
          <w:pPr>
            <w:pStyle w:val="TextosemFormatao"/>
            <w:jc w:val="center"/>
            <w:outlineLvl w:val="0"/>
            <w:rPr>
              <w:rFonts w:ascii="Arial Rounded MT Bold" w:hAnsi="Arial Rounded MT Bold"/>
            </w:rPr>
          </w:pPr>
        </w:p>
      </w:tc>
    </w:tr>
  </w:tbl>
  <w:p w14:paraId="6F31BD98" w14:textId="77777777" w:rsidR="0051328E" w:rsidRDefault="0051328E">
    <w:pPr>
      <w:pStyle w:val="Corpo"/>
    </w:pPr>
  </w:p>
  <w:p w14:paraId="62436DDF" w14:textId="77777777" w:rsidR="0051328E" w:rsidRDefault="0051328E">
    <w:pPr>
      <w:pStyle w:val="Corpo"/>
    </w:pPr>
  </w:p>
  <w:p w14:paraId="4FDAF561" w14:textId="77777777"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8072" w14:textId="77777777" w:rsidR="0051328E" w:rsidRDefault="000D5AF3">
    <w:pPr>
      <w:pStyle w:val="Cabealho"/>
      <w:framePr w:wrap="around" w:vAnchor="text" w:hAnchor="margin" w:xAlign="right" w:y="1"/>
      <w:rPr>
        <w:rStyle w:val="Nmerodepgina"/>
      </w:rPr>
    </w:pPr>
    <w:r>
      <w:rPr>
        <w:noProof/>
      </w:rPr>
      <w:pict w14:anchorId="72A88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14:paraId="3E298E89" w14:textId="77777777"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14:paraId="33749099" w14:textId="77777777">
      <w:trPr>
        <w:trHeight w:val="35"/>
      </w:trPr>
      <w:tc>
        <w:tcPr>
          <w:tcW w:w="2338" w:type="dxa"/>
          <w:tcBorders>
            <w:bottom w:val="single" w:sz="18" w:space="0" w:color="000080"/>
          </w:tcBorders>
        </w:tcPr>
        <w:p w14:paraId="5B4DFC67" w14:textId="77777777" w:rsidR="0051328E" w:rsidRDefault="000D5AF3">
          <w:pPr>
            <w:pStyle w:val="TextosemFormatao"/>
            <w:outlineLvl w:val="0"/>
            <w:rPr>
              <w:rFonts w:ascii="Arial Rounded MT Bold" w:hAnsi="Arial Rounded MT Bold"/>
            </w:rPr>
          </w:pPr>
          <w:r>
            <w:rPr>
              <w:noProof/>
            </w:rPr>
            <w:object w:dxaOrig="1440" w:dyaOrig="1440" w14:anchorId="4654F536">
              <v:shape id="_x0000_s2049" type="#_x0000_t75" style="position:absolute;margin-left:2.95pt;margin-top:1.35pt;width:108pt;height:57.6pt;z-index:251655680">
                <v:imagedata r:id="rId2" o:title=""/>
              </v:shape>
              <o:OLEObject Type="Embed" ProgID="PBrush" ShapeID="_x0000_s2049" DrawAspect="Content" ObjectID="_1781073872" r:id="rId3"/>
            </w:object>
          </w:r>
        </w:p>
      </w:tc>
      <w:tc>
        <w:tcPr>
          <w:tcW w:w="7645" w:type="dxa"/>
          <w:tcBorders>
            <w:bottom w:val="single" w:sz="18" w:space="0" w:color="000080"/>
          </w:tcBorders>
        </w:tcPr>
        <w:p w14:paraId="59D8E511" w14:textId="77777777"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14:paraId="70D89B5C" w14:textId="77777777" w:rsidR="0051328E" w:rsidRDefault="0051328E">
          <w:pPr>
            <w:pStyle w:val="TextosemFormatao"/>
            <w:jc w:val="center"/>
            <w:outlineLvl w:val="0"/>
            <w:rPr>
              <w:rFonts w:ascii="Arial Rounded MT Bold" w:hAnsi="Arial Rounded MT Bold"/>
              <w:sz w:val="4"/>
            </w:rPr>
          </w:pPr>
        </w:p>
        <w:p w14:paraId="40CCFEA0" w14:textId="77777777"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14:paraId="135110AD" w14:textId="77777777" w:rsidR="0051328E" w:rsidRDefault="0051328E">
          <w:pPr>
            <w:pStyle w:val="TextosemFormatao"/>
            <w:jc w:val="center"/>
            <w:outlineLvl w:val="0"/>
            <w:rPr>
              <w:rFonts w:ascii="Arial Rounded MT Bold" w:hAnsi="Arial Rounded MT Bold"/>
              <w:sz w:val="4"/>
            </w:rPr>
          </w:pPr>
        </w:p>
        <w:p w14:paraId="27F97A71" w14:textId="77777777"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14:paraId="28DB005E" w14:textId="77777777" w:rsidR="0051328E" w:rsidRDefault="0051328E">
          <w:pPr>
            <w:pStyle w:val="TextosemFormatao"/>
            <w:jc w:val="center"/>
            <w:outlineLvl w:val="0"/>
            <w:rPr>
              <w:rFonts w:ascii="Arial Rounded MT Bold" w:hAnsi="Arial Rounded MT Bold"/>
              <w:sz w:val="4"/>
            </w:rPr>
          </w:pPr>
        </w:p>
        <w:p w14:paraId="74A9DC47" w14:textId="77777777"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14:paraId="19DBFA5A" w14:textId="77777777" w:rsidR="0051328E" w:rsidRDefault="0051328E">
    <w:pPr>
      <w:pStyle w:val="Corpo"/>
      <w:rPr>
        <w:b w:val="0"/>
        <w:sz w:val="24"/>
      </w:rPr>
    </w:pPr>
  </w:p>
  <w:p w14:paraId="27200E16" w14:textId="77777777"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4"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5"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702592221">
    <w:abstractNumId w:val="9"/>
  </w:num>
  <w:num w:numId="2" w16cid:durableId="1652247535">
    <w:abstractNumId w:val="14"/>
  </w:num>
  <w:num w:numId="3" w16cid:durableId="943726225">
    <w:abstractNumId w:val="1"/>
  </w:num>
  <w:num w:numId="4" w16cid:durableId="386689913">
    <w:abstractNumId w:val="13"/>
  </w:num>
  <w:num w:numId="5" w16cid:durableId="437415172">
    <w:abstractNumId w:val="7"/>
  </w:num>
  <w:num w:numId="6" w16cid:durableId="369652951">
    <w:abstractNumId w:val="0"/>
  </w:num>
  <w:num w:numId="7" w16cid:durableId="1598712969">
    <w:abstractNumId w:val="2"/>
  </w:num>
  <w:num w:numId="8" w16cid:durableId="1728214503">
    <w:abstractNumId w:val="6"/>
  </w:num>
  <w:num w:numId="9" w16cid:durableId="703794848">
    <w:abstractNumId w:val="10"/>
  </w:num>
  <w:num w:numId="10" w16cid:durableId="1431001848">
    <w:abstractNumId w:val="10"/>
    <w:lvlOverride w:ilvl="0">
      <w:lvl w:ilvl="0">
        <w:start w:val="1"/>
        <w:numFmt w:val="lowerLetter"/>
        <w:lvlText w:val="%1)"/>
        <w:legacy w:legacy="1" w:legacySpace="0" w:legacyIndent="283"/>
        <w:lvlJc w:val="left"/>
        <w:pPr>
          <w:ind w:left="283" w:hanging="283"/>
        </w:pPr>
        <w:rPr>
          <w:b w:val="0"/>
          <w:i w:val="0"/>
        </w:rPr>
      </w:lvl>
    </w:lvlOverride>
  </w:num>
  <w:num w:numId="11" w16cid:durableId="1177693841">
    <w:abstractNumId w:val="4"/>
  </w:num>
  <w:num w:numId="12" w16cid:durableId="1788162875">
    <w:abstractNumId w:val="3"/>
  </w:num>
  <w:num w:numId="13" w16cid:durableId="1879663926">
    <w:abstractNumId w:val="11"/>
  </w:num>
  <w:num w:numId="14" w16cid:durableId="1938100342">
    <w:abstractNumId w:val="16"/>
  </w:num>
  <w:num w:numId="15" w16cid:durableId="906570323">
    <w:abstractNumId w:val="5"/>
  </w:num>
  <w:num w:numId="16" w16cid:durableId="222564856">
    <w:abstractNumId w:val="8"/>
  </w:num>
  <w:num w:numId="17" w16cid:durableId="1530953556">
    <w:abstractNumId w:val="15"/>
  </w:num>
  <w:num w:numId="18" w16cid:durableId="1799303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D4"/>
    <w:rsid w:val="00003159"/>
    <w:rsid w:val="00004027"/>
    <w:rsid w:val="00005FC5"/>
    <w:rsid w:val="000064B7"/>
    <w:rsid w:val="000154DC"/>
    <w:rsid w:val="00016A5A"/>
    <w:rsid w:val="000268B0"/>
    <w:rsid w:val="000431A6"/>
    <w:rsid w:val="00044EA7"/>
    <w:rsid w:val="00050CFB"/>
    <w:rsid w:val="00054A04"/>
    <w:rsid w:val="00061A27"/>
    <w:rsid w:val="00076E8A"/>
    <w:rsid w:val="0009391E"/>
    <w:rsid w:val="000A6E1A"/>
    <w:rsid w:val="000B538A"/>
    <w:rsid w:val="000C2798"/>
    <w:rsid w:val="000C6834"/>
    <w:rsid w:val="000D5AF3"/>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16AF0"/>
    <w:rsid w:val="00226F15"/>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2632F"/>
    <w:rsid w:val="00834A83"/>
    <w:rsid w:val="00837946"/>
    <w:rsid w:val="008400D0"/>
    <w:rsid w:val="008446E9"/>
    <w:rsid w:val="00870A45"/>
    <w:rsid w:val="00872370"/>
    <w:rsid w:val="00882176"/>
    <w:rsid w:val="008961D5"/>
    <w:rsid w:val="008A6E15"/>
    <w:rsid w:val="008B2344"/>
    <w:rsid w:val="008B2FBA"/>
    <w:rsid w:val="008B3AAD"/>
    <w:rsid w:val="008C3931"/>
    <w:rsid w:val="008C449D"/>
    <w:rsid w:val="008C6FD4"/>
    <w:rsid w:val="008D255A"/>
    <w:rsid w:val="008D6E60"/>
    <w:rsid w:val="008E1777"/>
    <w:rsid w:val="008E3F8A"/>
    <w:rsid w:val="008F1E53"/>
    <w:rsid w:val="008F34C0"/>
    <w:rsid w:val="008F49C2"/>
    <w:rsid w:val="008F7785"/>
    <w:rsid w:val="008F7F51"/>
    <w:rsid w:val="0091317E"/>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2858"/>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0511B"/>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2D1A"/>
    <w:rsid w:val="00E6529E"/>
    <w:rsid w:val="00E95CB5"/>
    <w:rsid w:val="00EA246F"/>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1BCE6A"/>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42C3-E627-48E6-819F-48821A71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26</TotalTime>
  <Pages>7</Pages>
  <Words>1634</Words>
  <Characters>9220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10833</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LIGIA</cp:lastModifiedBy>
  <cp:revision>7</cp:revision>
  <cp:lastPrinted>2020-05-14T17:21:00Z</cp:lastPrinted>
  <dcterms:created xsi:type="dcterms:W3CDTF">2024-05-13T20:20:00Z</dcterms:created>
  <dcterms:modified xsi:type="dcterms:W3CDTF">2024-06-28T12:58:00Z</dcterms:modified>
</cp:coreProperties>
</file>