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803C" w14:textId="77777777"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14:paraId="1E745DEF" w14:textId="77777777" w:rsidR="00A648E2" w:rsidRPr="006C5D01" w:rsidRDefault="00A648E2" w:rsidP="00A648E2">
      <w:pPr>
        <w:spacing w:line="244" w:lineRule="auto"/>
        <w:jc w:val="center"/>
        <w:rPr>
          <w:rFonts w:ascii="Cambria" w:eastAsia="Cambria" w:hAnsi="Cambria" w:cs="Cambria"/>
          <w:color w:val="000000"/>
          <w:sz w:val="24"/>
          <w:szCs w:val="24"/>
        </w:rPr>
      </w:pPr>
    </w:p>
    <w:p w14:paraId="71444F05" w14:textId="77777777"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14:paraId="7322A2FC" w14:textId="67B33D17" w:rsidR="00464FE3" w:rsidRDefault="00464FE3"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464FE3">
        <w:rPr>
          <w:rFonts w:ascii="Cambria" w:eastAsia="Cambria" w:hAnsi="Cambria" w:cs="Cambria"/>
          <w:color w:val="000000"/>
          <w:sz w:val="24"/>
          <w:szCs w:val="24"/>
        </w:rPr>
        <w:t xml:space="preserve">CONTRATAÇÃO DE PESSOA JURUDICA PARA O CREDENCIAMENTO DE INSTITUIÇÕES FINANCEIRAS PARA O RECEBIMENTO DE TARIFAS DE AGUA EMITIDAS DO SAAE DE ALVORADA DO </w:t>
      </w:r>
      <w:proofErr w:type="gramStart"/>
      <w:r w:rsidRPr="00464FE3">
        <w:rPr>
          <w:rFonts w:ascii="Cambria" w:eastAsia="Cambria" w:hAnsi="Cambria" w:cs="Cambria"/>
          <w:color w:val="000000"/>
          <w:sz w:val="24"/>
          <w:szCs w:val="24"/>
        </w:rPr>
        <w:t>SUL</w:t>
      </w:r>
      <w:r w:rsidR="00413D34">
        <w:rPr>
          <w:rFonts w:ascii="Cambria" w:eastAsia="Cambria" w:hAnsi="Cambria" w:cs="Cambria"/>
          <w:color w:val="000000"/>
          <w:sz w:val="24"/>
          <w:szCs w:val="24"/>
        </w:rPr>
        <w:t xml:space="preserve">  DE</w:t>
      </w:r>
      <w:proofErr w:type="gramEnd"/>
      <w:r w:rsidR="00413D34">
        <w:rPr>
          <w:rFonts w:ascii="Cambria" w:eastAsia="Cambria" w:hAnsi="Cambria" w:cs="Cambria"/>
          <w:color w:val="000000"/>
          <w:sz w:val="24"/>
          <w:szCs w:val="24"/>
        </w:rPr>
        <w:t xml:space="preserve"> ACORDO COM O CHAMAMENTO PUBLICO 01/2024.</w:t>
      </w:r>
    </w:p>
    <w:p w14:paraId="474D9AE4" w14:textId="2F65E583"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14:paraId="41A80815" w14:textId="77777777" w:rsidR="00464FE3" w:rsidRPr="00464FE3" w:rsidRDefault="00464FE3" w:rsidP="00464FE3">
      <w:pPr>
        <w:spacing w:line="276" w:lineRule="auto"/>
        <w:jc w:val="both"/>
        <w:rPr>
          <w:sz w:val="24"/>
          <w:szCs w:val="24"/>
        </w:rPr>
      </w:pPr>
      <w:r w:rsidRPr="00464FE3">
        <w:rPr>
          <w:sz w:val="24"/>
          <w:szCs w:val="24"/>
        </w:rPr>
        <w:t>O Serviço Autônomo de Água e Esgoto (SAAE) de Alvorada do Sul tem como objetivo assegurar eficiência, acessibilidade e comodidade no pagamento das tarifas de água por parte dos consumidores. Atualmente, observa-se a necessidade de diversificar e ampliar os canais de pagamento disponíveis, considerando a inclusão de novas instituições bancárias e sistemas de arrecadação.</w:t>
      </w:r>
    </w:p>
    <w:p w14:paraId="664AE6A4" w14:textId="77777777" w:rsidR="00464FE3" w:rsidRPr="00464FE3" w:rsidRDefault="00464FE3" w:rsidP="00464FE3">
      <w:pPr>
        <w:spacing w:line="276" w:lineRule="auto"/>
        <w:jc w:val="both"/>
        <w:rPr>
          <w:sz w:val="24"/>
          <w:szCs w:val="24"/>
        </w:rPr>
      </w:pPr>
    </w:p>
    <w:p w14:paraId="627F19B0" w14:textId="77777777" w:rsidR="00464FE3" w:rsidRPr="00464FE3" w:rsidRDefault="00464FE3" w:rsidP="00464FE3">
      <w:pPr>
        <w:spacing w:line="276" w:lineRule="auto"/>
        <w:jc w:val="both"/>
        <w:rPr>
          <w:sz w:val="24"/>
          <w:szCs w:val="24"/>
        </w:rPr>
      </w:pPr>
      <w:r w:rsidRPr="00464FE3">
        <w:rPr>
          <w:sz w:val="24"/>
          <w:szCs w:val="24"/>
        </w:rPr>
        <w:t>Essa medida justifica-se pelos seguintes fatores:</w:t>
      </w:r>
    </w:p>
    <w:p w14:paraId="4109554C" w14:textId="77777777" w:rsidR="00464FE3" w:rsidRPr="00464FE3" w:rsidRDefault="00464FE3" w:rsidP="00464FE3">
      <w:pPr>
        <w:spacing w:line="276" w:lineRule="auto"/>
        <w:jc w:val="both"/>
        <w:rPr>
          <w:sz w:val="24"/>
          <w:szCs w:val="24"/>
        </w:rPr>
      </w:pPr>
    </w:p>
    <w:p w14:paraId="1E1A0EB7" w14:textId="77777777" w:rsidR="00464FE3" w:rsidRPr="00464FE3" w:rsidRDefault="00464FE3" w:rsidP="00464FE3">
      <w:pPr>
        <w:spacing w:line="276" w:lineRule="auto"/>
        <w:jc w:val="both"/>
        <w:rPr>
          <w:sz w:val="24"/>
          <w:szCs w:val="24"/>
        </w:rPr>
      </w:pPr>
      <w:r w:rsidRPr="00464FE3">
        <w:rPr>
          <w:sz w:val="24"/>
          <w:szCs w:val="24"/>
        </w:rPr>
        <w:t>Facilitação ao Usuário:</w:t>
      </w:r>
    </w:p>
    <w:p w14:paraId="68B34E9B" w14:textId="77777777" w:rsidR="00464FE3" w:rsidRPr="00464FE3" w:rsidRDefault="00464FE3" w:rsidP="00464FE3">
      <w:pPr>
        <w:spacing w:line="276" w:lineRule="auto"/>
        <w:jc w:val="both"/>
        <w:rPr>
          <w:sz w:val="24"/>
          <w:szCs w:val="24"/>
        </w:rPr>
      </w:pPr>
      <w:r w:rsidRPr="00464FE3">
        <w:rPr>
          <w:sz w:val="24"/>
          <w:szCs w:val="24"/>
        </w:rPr>
        <w:t>A inclusão de mais bancos e canais de pagamento oferece maior conveniência aos consumidores, permitindo que estes escolham instituições de sua preferência e tenham acesso a uma rede de atendimento mais ampla. Isso reduz filas, deslocamentos e limitações associadas a canais restritos.</w:t>
      </w:r>
    </w:p>
    <w:p w14:paraId="41DB7F21" w14:textId="77777777" w:rsidR="00464FE3" w:rsidRPr="00464FE3" w:rsidRDefault="00464FE3" w:rsidP="00464FE3">
      <w:pPr>
        <w:spacing w:line="276" w:lineRule="auto"/>
        <w:jc w:val="both"/>
        <w:rPr>
          <w:sz w:val="24"/>
          <w:szCs w:val="24"/>
        </w:rPr>
      </w:pPr>
    </w:p>
    <w:p w14:paraId="1CA8E145" w14:textId="77777777" w:rsidR="00464FE3" w:rsidRPr="00464FE3" w:rsidRDefault="00464FE3" w:rsidP="00464FE3">
      <w:pPr>
        <w:spacing w:line="276" w:lineRule="auto"/>
        <w:jc w:val="both"/>
        <w:rPr>
          <w:sz w:val="24"/>
          <w:szCs w:val="24"/>
        </w:rPr>
      </w:pPr>
      <w:r w:rsidRPr="00464FE3">
        <w:rPr>
          <w:sz w:val="24"/>
          <w:szCs w:val="24"/>
        </w:rPr>
        <w:t>Acessibilidade Financeira e Geográfica:</w:t>
      </w:r>
    </w:p>
    <w:p w14:paraId="15D6C419" w14:textId="77777777" w:rsidR="00464FE3" w:rsidRPr="00464FE3" w:rsidRDefault="00464FE3" w:rsidP="00464FE3">
      <w:pPr>
        <w:spacing w:line="276" w:lineRule="auto"/>
        <w:jc w:val="both"/>
        <w:rPr>
          <w:sz w:val="24"/>
          <w:szCs w:val="24"/>
        </w:rPr>
      </w:pPr>
      <w:r w:rsidRPr="00464FE3">
        <w:rPr>
          <w:sz w:val="24"/>
          <w:szCs w:val="24"/>
        </w:rPr>
        <w:t>Considerando a diversidade de instituições utilizadas pela população e a dispersão geográfica do município, é essencial que os usuários tenham acesso a diversas opções para realizar seus pagamentos. Isso também beneficia os cidadãos que preferem utilizar serviços digitais, caixas eletrônicos ou correspondentes bancários.</w:t>
      </w:r>
    </w:p>
    <w:p w14:paraId="6B2DB71D" w14:textId="77777777" w:rsidR="00464FE3" w:rsidRPr="00464FE3" w:rsidRDefault="00464FE3" w:rsidP="00464FE3">
      <w:pPr>
        <w:spacing w:line="276" w:lineRule="auto"/>
        <w:jc w:val="both"/>
        <w:rPr>
          <w:sz w:val="24"/>
          <w:szCs w:val="24"/>
        </w:rPr>
      </w:pPr>
    </w:p>
    <w:p w14:paraId="53D6D10A" w14:textId="77777777" w:rsidR="00464FE3" w:rsidRPr="00464FE3" w:rsidRDefault="00464FE3" w:rsidP="00464FE3">
      <w:pPr>
        <w:spacing w:line="276" w:lineRule="auto"/>
        <w:jc w:val="both"/>
        <w:rPr>
          <w:sz w:val="24"/>
          <w:szCs w:val="24"/>
        </w:rPr>
      </w:pPr>
      <w:r w:rsidRPr="00464FE3">
        <w:rPr>
          <w:sz w:val="24"/>
          <w:szCs w:val="24"/>
        </w:rPr>
        <w:t>Aumento da Eficiência Operacional:</w:t>
      </w:r>
    </w:p>
    <w:p w14:paraId="731E500F" w14:textId="77777777" w:rsidR="00464FE3" w:rsidRPr="00464FE3" w:rsidRDefault="00464FE3" w:rsidP="00464FE3">
      <w:pPr>
        <w:spacing w:line="276" w:lineRule="auto"/>
        <w:jc w:val="both"/>
        <w:rPr>
          <w:sz w:val="24"/>
          <w:szCs w:val="24"/>
        </w:rPr>
      </w:pPr>
      <w:r w:rsidRPr="00464FE3">
        <w:rPr>
          <w:sz w:val="24"/>
          <w:szCs w:val="24"/>
        </w:rPr>
        <w:t>A ampliação dos meios de cobrança reduz a concentração de pagamentos em poucas instituições, diluindo gargalos operacionais e otimizando o processamento financeiro. Além disso, a maior competitividade entre os bancos pode resultar em melhores condições de serviço e taxas administrativas.</w:t>
      </w:r>
    </w:p>
    <w:p w14:paraId="6CF25113" w14:textId="77777777" w:rsidR="00464FE3" w:rsidRPr="00464FE3" w:rsidRDefault="00464FE3" w:rsidP="00464FE3">
      <w:pPr>
        <w:spacing w:line="276" w:lineRule="auto"/>
        <w:jc w:val="both"/>
        <w:rPr>
          <w:sz w:val="24"/>
          <w:szCs w:val="24"/>
        </w:rPr>
      </w:pPr>
    </w:p>
    <w:p w14:paraId="271D2909" w14:textId="77777777" w:rsidR="00464FE3" w:rsidRPr="00464FE3" w:rsidRDefault="00464FE3" w:rsidP="00464FE3">
      <w:pPr>
        <w:spacing w:line="276" w:lineRule="auto"/>
        <w:jc w:val="both"/>
        <w:rPr>
          <w:sz w:val="24"/>
          <w:szCs w:val="24"/>
        </w:rPr>
      </w:pPr>
      <w:r w:rsidRPr="00464FE3">
        <w:rPr>
          <w:sz w:val="24"/>
          <w:szCs w:val="24"/>
        </w:rPr>
        <w:t>Redução de Inadimplência:</w:t>
      </w:r>
    </w:p>
    <w:p w14:paraId="24BBFDBC" w14:textId="77777777" w:rsidR="00464FE3" w:rsidRPr="00464FE3" w:rsidRDefault="00464FE3" w:rsidP="00464FE3">
      <w:pPr>
        <w:spacing w:line="276" w:lineRule="auto"/>
        <w:jc w:val="both"/>
        <w:rPr>
          <w:sz w:val="24"/>
          <w:szCs w:val="24"/>
        </w:rPr>
      </w:pPr>
      <w:r w:rsidRPr="00464FE3">
        <w:rPr>
          <w:sz w:val="24"/>
          <w:szCs w:val="24"/>
        </w:rPr>
        <w:t>A disponibilidade de múltiplos canais de pagamento pode facilitar o cumprimento das obrigações por parte dos consumidores, contribuindo para a diminuição da inadimplência e, consequentemente, para a saúde financeira do SAAE.</w:t>
      </w:r>
    </w:p>
    <w:p w14:paraId="5B01E95D" w14:textId="77777777" w:rsidR="00464FE3" w:rsidRPr="00464FE3" w:rsidRDefault="00464FE3" w:rsidP="00464FE3">
      <w:pPr>
        <w:spacing w:line="276" w:lineRule="auto"/>
        <w:jc w:val="both"/>
        <w:rPr>
          <w:sz w:val="24"/>
          <w:szCs w:val="24"/>
        </w:rPr>
      </w:pPr>
    </w:p>
    <w:p w14:paraId="73628D58" w14:textId="77777777" w:rsidR="00464FE3" w:rsidRPr="00464FE3" w:rsidRDefault="00464FE3" w:rsidP="00464FE3">
      <w:pPr>
        <w:spacing w:line="276" w:lineRule="auto"/>
        <w:jc w:val="both"/>
        <w:rPr>
          <w:sz w:val="24"/>
          <w:szCs w:val="24"/>
        </w:rPr>
      </w:pPr>
      <w:r w:rsidRPr="00464FE3">
        <w:rPr>
          <w:sz w:val="24"/>
          <w:szCs w:val="24"/>
        </w:rPr>
        <w:t>Conformidade com a Modernização dos Serviços Públicos:</w:t>
      </w:r>
    </w:p>
    <w:p w14:paraId="26D54CC6" w14:textId="77777777" w:rsidR="00464FE3" w:rsidRPr="00464FE3" w:rsidRDefault="00464FE3" w:rsidP="00464FE3">
      <w:pPr>
        <w:spacing w:line="276" w:lineRule="auto"/>
        <w:jc w:val="both"/>
        <w:rPr>
          <w:sz w:val="24"/>
          <w:szCs w:val="24"/>
        </w:rPr>
      </w:pPr>
      <w:r w:rsidRPr="00464FE3">
        <w:rPr>
          <w:sz w:val="24"/>
          <w:szCs w:val="24"/>
        </w:rPr>
        <w:lastRenderedPageBreak/>
        <w:t>Essa iniciativa alinha-se às melhores práticas de gestão pública, promovendo a modernização e ampliando a transparência e a comodidade nos processos de arrecadação.</w:t>
      </w:r>
    </w:p>
    <w:p w14:paraId="5FEF1FAB" w14:textId="77777777" w:rsidR="00464FE3" w:rsidRPr="00464FE3" w:rsidRDefault="00464FE3" w:rsidP="00464FE3">
      <w:pPr>
        <w:spacing w:line="276" w:lineRule="auto"/>
        <w:jc w:val="both"/>
        <w:rPr>
          <w:sz w:val="24"/>
          <w:szCs w:val="24"/>
        </w:rPr>
      </w:pPr>
    </w:p>
    <w:p w14:paraId="7E2E6456" w14:textId="739ED7DB" w:rsidR="00921C0D" w:rsidRDefault="00464FE3" w:rsidP="00464FE3">
      <w:pPr>
        <w:spacing w:line="276" w:lineRule="auto"/>
        <w:jc w:val="both"/>
        <w:rPr>
          <w:rFonts w:ascii="Cambria" w:eastAsia="Cambria" w:hAnsi="Cambria" w:cs="Cambria"/>
          <w:b/>
          <w:color w:val="000000"/>
          <w:sz w:val="24"/>
          <w:szCs w:val="24"/>
        </w:rPr>
      </w:pPr>
      <w:r w:rsidRPr="00464FE3">
        <w:rPr>
          <w:sz w:val="24"/>
          <w:szCs w:val="24"/>
        </w:rPr>
        <w:t>Dessa forma, o credenciamento de bancos e outras instituições financeiras é uma medida estratégica e indispensável para melhorar o atendimento à população de Alvorada do Sul e fortalecer a gestão de receitas do SAAE. Solicitamos, portanto, a aprovação para a abertura desse processo de credenciamento, garantindo a viabilidade operacional e os benefícios decorrentes da iniciativa.</w:t>
      </w:r>
    </w:p>
    <w:p w14:paraId="54CC3FB0" w14:textId="77777777"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14:paraId="3AB413F0" w14:textId="77777777"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14:paraId="296D9F3A" w14:textId="77777777"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w:t>
      </w:r>
      <w:proofErr w:type="gramStart"/>
      <w:r>
        <w:rPr>
          <w:rFonts w:ascii="Cambria" w:eastAsia="Cambria" w:hAnsi="Cambria" w:cs="Cambria"/>
          <w:color w:val="000000"/>
          <w:sz w:val="24"/>
          <w:szCs w:val="24"/>
        </w:rPr>
        <w:t>Agua</w:t>
      </w:r>
      <w:proofErr w:type="gramEnd"/>
      <w:r>
        <w:rPr>
          <w:rFonts w:ascii="Cambria" w:eastAsia="Cambria" w:hAnsi="Cambria" w:cs="Cambria"/>
          <w:color w:val="000000"/>
          <w:sz w:val="24"/>
          <w:szCs w:val="24"/>
        </w:rPr>
        <w:t xml:space="preserve"> e Esgoto SAAE </w:t>
      </w:r>
      <w:r w:rsidRPr="006C5D01">
        <w:rPr>
          <w:rFonts w:ascii="Cambria" w:eastAsia="Cambria" w:hAnsi="Cambria" w:cs="Cambria"/>
          <w:color w:val="000000"/>
          <w:sz w:val="24"/>
          <w:szCs w:val="24"/>
        </w:rPr>
        <w:t>de Alvorada do Sul – PR.</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750"/>
        <w:gridCol w:w="9165"/>
      </w:tblGrid>
      <w:tr w:rsidR="00A648E2" w:rsidRPr="006C5D01" w14:paraId="3261A605" w14:textId="77777777" w:rsidTr="00921C0D">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824105"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9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054B90"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DESCRIÇÃO/</w:t>
            </w:r>
          </w:p>
          <w:p w14:paraId="1B3098C6"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921C0D" w:rsidRPr="006C5D01" w14:paraId="49611B64" w14:textId="77777777" w:rsidTr="00921C0D">
        <w:trPr>
          <w:trHeight w:val="630"/>
        </w:trPr>
        <w:tc>
          <w:tcPr>
            <w:tcW w:w="99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tbl>
            <w:tblPr>
              <w:tblW w:w="9226" w:type="dxa"/>
              <w:tblLayout w:type="fixed"/>
              <w:tblLook w:val="0600" w:firstRow="0" w:lastRow="0" w:firstColumn="0" w:lastColumn="0" w:noHBand="1" w:noVBand="1"/>
            </w:tblPr>
            <w:tblGrid>
              <w:gridCol w:w="721"/>
              <w:gridCol w:w="8505"/>
            </w:tblGrid>
            <w:tr w:rsidR="00464FE3" w:rsidRPr="00484D76" w14:paraId="3E37882C"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AC93C"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499EA27"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F76DE35" w14:textId="0FB89870"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caixa </w:t>
                  </w:r>
                  <w:proofErr w:type="spellStart"/>
                  <w:r w:rsidRPr="00B351BF">
                    <w:rPr>
                      <w:sz w:val="24"/>
                      <w:szCs w:val="24"/>
                    </w:rPr>
                    <w:t>eletronico</w:t>
                  </w:r>
                  <w:proofErr w:type="spellEnd"/>
                </w:p>
              </w:tc>
            </w:tr>
            <w:tr w:rsidR="00464FE3" w:rsidRPr="00484D76" w14:paraId="1A7C1990"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FCFA1"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7BCB1FE"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37D56EA" w14:textId="5D0524AE"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pagamento de faturas do </w:t>
                  </w:r>
                  <w:proofErr w:type="spellStart"/>
                  <w:r w:rsidRPr="00B351BF">
                    <w:rPr>
                      <w:sz w:val="24"/>
                      <w:szCs w:val="24"/>
                    </w:rPr>
                    <w:t>saae</w:t>
                  </w:r>
                  <w:proofErr w:type="spellEnd"/>
                  <w:r w:rsidRPr="00B351BF">
                    <w:rPr>
                      <w:sz w:val="24"/>
                      <w:szCs w:val="24"/>
                    </w:rPr>
                    <w:t xml:space="preserve"> em caixa presencial</w:t>
                  </w:r>
                </w:p>
              </w:tc>
            </w:tr>
            <w:tr w:rsidR="00464FE3" w:rsidRPr="00484D76" w14:paraId="108EA67A"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D78E3"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295D0506"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243728F" w14:textId="70967A8A"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via internet </w:t>
                  </w:r>
                  <w:proofErr w:type="gramStart"/>
                  <w:r w:rsidRPr="00B351BF">
                    <w:rPr>
                      <w:sz w:val="24"/>
                      <w:szCs w:val="24"/>
                    </w:rPr>
                    <w:t>( aplicativo</w:t>
                  </w:r>
                  <w:proofErr w:type="gramEnd"/>
                  <w:r w:rsidRPr="00B351BF">
                    <w:rPr>
                      <w:sz w:val="24"/>
                      <w:szCs w:val="24"/>
                    </w:rPr>
                    <w:t xml:space="preserve"> da instituição financeira)</w:t>
                  </w:r>
                </w:p>
              </w:tc>
            </w:tr>
            <w:tr w:rsidR="00464FE3" w:rsidRPr="00484D76" w14:paraId="335735EE"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5579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57E7E549"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3B4DD0FC" w14:textId="765403BF"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faturas do </w:t>
                  </w:r>
                  <w:proofErr w:type="spellStart"/>
                  <w:r w:rsidRPr="00B351BF">
                    <w:rPr>
                      <w:sz w:val="24"/>
                      <w:szCs w:val="24"/>
                    </w:rPr>
                    <w:t>saae</w:t>
                  </w:r>
                  <w:proofErr w:type="spellEnd"/>
                  <w:r w:rsidRPr="00B351BF">
                    <w:rPr>
                      <w:sz w:val="24"/>
                      <w:szCs w:val="24"/>
                    </w:rPr>
                    <w:t xml:space="preserve"> em </w:t>
                  </w:r>
                  <w:proofErr w:type="spellStart"/>
                  <w:r w:rsidRPr="00B351BF">
                    <w:rPr>
                      <w:sz w:val="24"/>
                      <w:szCs w:val="24"/>
                    </w:rPr>
                    <w:t>pix</w:t>
                  </w:r>
                  <w:proofErr w:type="spellEnd"/>
                </w:p>
              </w:tc>
            </w:tr>
            <w:tr w:rsidR="00464FE3" w:rsidRPr="00484D76" w14:paraId="76EB2DA5"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CB1E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1020BB9D"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9016E23" w14:textId="52CA2803"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outros meios a ser detalhado</w:t>
                  </w:r>
                </w:p>
              </w:tc>
            </w:tr>
          </w:tbl>
          <w:p w14:paraId="05B344C0" w14:textId="77777777" w:rsidR="00921C0D" w:rsidRPr="006C5D01" w:rsidRDefault="00921C0D" w:rsidP="00EB4A54">
            <w:pPr>
              <w:spacing w:before="60" w:after="60" w:line="288" w:lineRule="auto"/>
              <w:jc w:val="both"/>
              <w:rPr>
                <w:rFonts w:ascii="Cambria" w:eastAsia="Cambria" w:hAnsi="Cambria" w:cs="Cambria"/>
              </w:rPr>
            </w:pPr>
          </w:p>
        </w:tc>
      </w:tr>
    </w:tbl>
    <w:p w14:paraId="2D64BA86" w14:textId="77777777" w:rsidR="00A648E2" w:rsidRPr="006C5D01" w:rsidRDefault="00A648E2" w:rsidP="00A648E2">
      <w:pPr>
        <w:rPr>
          <w:rFonts w:ascii="Cambria" w:eastAsia="Cambria" w:hAnsi="Cambria" w:cs="Cambria"/>
          <w:color w:val="000000"/>
          <w:sz w:val="24"/>
          <w:szCs w:val="24"/>
        </w:rPr>
      </w:pPr>
    </w:p>
    <w:p w14:paraId="0C546F70" w14:textId="77777777"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14:paraId="1E43DD7A" w14:textId="77777777" w:rsidR="00A648E2" w:rsidRPr="006C5D01" w:rsidRDefault="00D1478D" w:rsidP="00814F9B">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A </w:t>
      </w:r>
      <w:proofErr w:type="gramStart"/>
      <w:r>
        <w:rPr>
          <w:rFonts w:ascii="Cambria" w:eastAsia="Cambria" w:hAnsi="Cambria" w:cs="Cambria"/>
          <w:color w:val="000000"/>
          <w:sz w:val="24"/>
          <w:szCs w:val="24"/>
        </w:rPr>
        <w:t xml:space="preserve">execução </w:t>
      </w:r>
      <w:r w:rsidR="00A648E2"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do</w:t>
      </w:r>
      <w:proofErr w:type="gramEnd"/>
      <w:r w:rsidR="00BF33DF">
        <w:rPr>
          <w:rFonts w:ascii="Cambria" w:eastAsia="Cambria" w:hAnsi="Cambria" w:cs="Cambria"/>
          <w:color w:val="000000"/>
          <w:sz w:val="24"/>
          <w:szCs w:val="24"/>
        </w:rPr>
        <w:t xml:space="preserve"> </w:t>
      </w:r>
      <w:r w:rsidR="00921C0D">
        <w:rPr>
          <w:rFonts w:ascii="Cambria" w:eastAsia="Cambria" w:hAnsi="Cambria" w:cs="Cambria"/>
          <w:color w:val="000000"/>
          <w:sz w:val="24"/>
          <w:szCs w:val="24"/>
        </w:rPr>
        <w:t>serviço</w:t>
      </w:r>
      <w:r w:rsidR="00A648E2" w:rsidRPr="006C5D01">
        <w:rPr>
          <w:rFonts w:ascii="Cambria" w:eastAsia="Cambria" w:hAnsi="Cambria" w:cs="Cambria"/>
          <w:color w:val="000000"/>
          <w:sz w:val="24"/>
          <w:szCs w:val="24"/>
        </w:rPr>
        <w:t xml:space="preserve">, será realizada de acordo com a necessidade do </w:t>
      </w:r>
      <w:r w:rsidR="00A648E2">
        <w:rPr>
          <w:rFonts w:ascii="Cambria" w:eastAsia="Cambria" w:hAnsi="Cambria" w:cs="Cambria"/>
          <w:color w:val="000000"/>
          <w:sz w:val="24"/>
          <w:szCs w:val="24"/>
        </w:rPr>
        <w:t>SAAE</w:t>
      </w:r>
      <w:r>
        <w:rPr>
          <w:rFonts w:ascii="Cambria" w:eastAsia="Cambria" w:hAnsi="Cambria" w:cs="Cambria"/>
          <w:color w:val="000000"/>
          <w:sz w:val="24"/>
          <w:szCs w:val="24"/>
        </w:rPr>
        <w:t xml:space="preserve">, onde a empresa </w:t>
      </w:r>
      <w:proofErr w:type="spellStart"/>
      <w:r>
        <w:rPr>
          <w:rFonts w:ascii="Cambria" w:eastAsia="Cambria" w:hAnsi="Cambria" w:cs="Cambria"/>
          <w:color w:val="000000"/>
          <w:sz w:val="24"/>
          <w:szCs w:val="24"/>
        </w:rPr>
        <w:t>devera</w:t>
      </w:r>
      <w:proofErr w:type="spellEnd"/>
      <w:r>
        <w:rPr>
          <w:rFonts w:ascii="Cambria" w:eastAsia="Cambria" w:hAnsi="Cambria" w:cs="Cambria"/>
          <w:color w:val="000000"/>
          <w:sz w:val="24"/>
          <w:szCs w:val="24"/>
        </w:rPr>
        <w:t xml:space="preserve"> atender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solicitação do serviço em </w:t>
      </w:r>
      <w:proofErr w:type="spellStart"/>
      <w:r>
        <w:rPr>
          <w:rFonts w:ascii="Cambria" w:eastAsia="Cambria" w:hAnsi="Cambria" w:cs="Cambria"/>
          <w:color w:val="000000"/>
          <w:sz w:val="24"/>
          <w:szCs w:val="24"/>
        </w:rPr>
        <w:t>ate</w:t>
      </w:r>
      <w:proofErr w:type="spellEnd"/>
      <w:r>
        <w:rPr>
          <w:rFonts w:ascii="Cambria" w:eastAsia="Cambria" w:hAnsi="Cambria" w:cs="Cambria"/>
          <w:color w:val="000000"/>
          <w:sz w:val="24"/>
          <w:szCs w:val="24"/>
        </w:rPr>
        <w:t xml:space="preserve"> 1 dia. </w:t>
      </w:r>
      <w:r w:rsidR="00BF33DF">
        <w:rPr>
          <w:rFonts w:ascii="Cambria" w:eastAsia="Cambria" w:hAnsi="Cambria" w:cs="Cambria"/>
          <w:color w:val="000000"/>
          <w:sz w:val="24"/>
          <w:szCs w:val="24"/>
        </w:rPr>
        <w:t>O serviço</w:t>
      </w:r>
      <w:r w:rsidR="00A648E2"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14:paraId="2C94573B"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5</w:t>
      </w:r>
      <w:r w:rsidRPr="006C5D01">
        <w:rPr>
          <w:rFonts w:ascii="Cambria" w:eastAsia="Cambria" w:hAnsi="Cambria" w:cs="Cambria"/>
          <w:b/>
          <w:color w:val="000000"/>
          <w:sz w:val="24"/>
          <w:szCs w:val="24"/>
        </w:rPr>
        <w:t>. GARANTIA DO OBJETO</w:t>
      </w:r>
    </w:p>
    <w:p w14:paraId="51E337F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921C0D">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devem atender às especificações do descritivo contidos no termo de referência, os</w:t>
      </w:r>
      <w:r w:rsidR="00921C0D">
        <w:rPr>
          <w:rFonts w:ascii="Cambria" w:eastAsia="Cambria" w:hAnsi="Cambria" w:cs="Cambria"/>
          <w:color w:val="000000"/>
          <w:sz w:val="24"/>
          <w:szCs w:val="24"/>
        </w:rPr>
        <w:t xml:space="preserve"> 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14:paraId="14E6EE2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14:paraId="7A4B057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14:paraId="2B1D8205"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14:paraId="2611C0E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14:paraId="1223060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14:paraId="64AB5B1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14:paraId="1CD34B31" w14:textId="77777777" w:rsidR="00A648E2" w:rsidRPr="006C5D01" w:rsidRDefault="00A648E2" w:rsidP="00A648E2">
      <w:pPr>
        <w:spacing w:line="360" w:lineRule="auto"/>
        <w:jc w:val="both"/>
        <w:rPr>
          <w:rFonts w:ascii="Cambria" w:eastAsia="Cambria" w:hAnsi="Cambria" w:cs="Cambria"/>
          <w:color w:val="000000"/>
          <w:sz w:val="24"/>
          <w:szCs w:val="24"/>
        </w:rPr>
      </w:pPr>
    </w:p>
    <w:p w14:paraId="70F8609A" w14:textId="77777777"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14:paraId="039EF0EE" w14:textId="77777777" w:rsidR="00A648E2" w:rsidRPr="006C5D01" w:rsidRDefault="00A648E2" w:rsidP="00A648E2">
      <w:pPr>
        <w:rPr>
          <w:rFonts w:ascii="Cambria" w:eastAsia="Cambria" w:hAnsi="Cambria" w:cs="Cambria"/>
          <w:b/>
          <w:sz w:val="24"/>
          <w:szCs w:val="24"/>
        </w:rPr>
      </w:pPr>
    </w:p>
    <w:p w14:paraId="038D8D0B" w14:textId="77777777"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Não haverá a necessidade de amostras </w:t>
      </w:r>
      <w:r w:rsidR="00921C0D">
        <w:rPr>
          <w:rFonts w:ascii="Cambria" w:eastAsia="Cambria" w:hAnsi="Cambria" w:cs="Cambria"/>
          <w:sz w:val="24"/>
          <w:szCs w:val="24"/>
        </w:rPr>
        <w:t xml:space="preserve">pois é serviço e se não estiver de acordo com o contratado </w:t>
      </w:r>
      <w:proofErr w:type="spellStart"/>
      <w:r w:rsidR="00921C0D">
        <w:rPr>
          <w:rFonts w:ascii="Cambria" w:eastAsia="Cambria" w:hAnsi="Cambria" w:cs="Cambria"/>
          <w:sz w:val="24"/>
          <w:szCs w:val="24"/>
        </w:rPr>
        <w:t>sera</w:t>
      </w:r>
      <w:proofErr w:type="spellEnd"/>
      <w:r w:rsidR="00921C0D">
        <w:rPr>
          <w:rFonts w:ascii="Cambria" w:eastAsia="Cambria" w:hAnsi="Cambria" w:cs="Cambria"/>
          <w:sz w:val="24"/>
          <w:szCs w:val="24"/>
        </w:rPr>
        <w:t xml:space="preserve"> notificado a empresa.</w:t>
      </w:r>
    </w:p>
    <w:p w14:paraId="68688369" w14:textId="77777777" w:rsidR="00A648E2" w:rsidRPr="006C5D01" w:rsidRDefault="00A648E2" w:rsidP="00A648E2">
      <w:pPr>
        <w:rPr>
          <w:rFonts w:ascii="Cambria" w:eastAsia="Cambria" w:hAnsi="Cambria" w:cs="Cambria"/>
          <w:color w:val="000000"/>
          <w:sz w:val="24"/>
          <w:szCs w:val="24"/>
        </w:rPr>
      </w:pPr>
    </w:p>
    <w:p w14:paraId="0C8637A0"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14:paraId="1410BEDC"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14:paraId="6176A735" w14:textId="77777777" w:rsidR="00A648E2" w:rsidRPr="006C5D01" w:rsidRDefault="00A648E2" w:rsidP="00A648E2">
      <w:pPr>
        <w:spacing w:line="360" w:lineRule="auto"/>
        <w:jc w:val="both"/>
        <w:rPr>
          <w:rFonts w:ascii="Cambria" w:eastAsia="Cambria" w:hAnsi="Cambria" w:cs="Cambria"/>
          <w:color w:val="000000"/>
          <w:sz w:val="24"/>
          <w:szCs w:val="24"/>
        </w:rPr>
      </w:pPr>
    </w:p>
    <w:p w14:paraId="1FF97951"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14:paraId="40AFE2D4"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14:paraId="369DC70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14:paraId="5DE8C2C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14:paraId="45858D2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14:paraId="2F85263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14:paraId="2217573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14:paraId="747A5111"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14:paraId="1384E2D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14:paraId="6BFE96F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14:paraId="20F335B0" w14:textId="77777777" w:rsidR="00A648E2" w:rsidRPr="006C5D01" w:rsidRDefault="00A648E2" w:rsidP="00A648E2">
      <w:pPr>
        <w:spacing w:line="360" w:lineRule="auto"/>
        <w:jc w:val="both"/>
        <w:rPr>
          <w:rFonts w:ascii="Cambria" w:eastAsia="Cambria" w:hAnsi="Cambria" w:cs="Cambria"/>
          <w:color w:val="000000"/>
          <w:sz w:val="24"/>
          <w:szCs w:val="24"/>
        </w:rPr>
      </w:pPr>
    </w:p>
    <w:p w14:paraId="2D5F6965"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14:paraId="405B13F8" w14:textId="288939D4"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 xml:space="preserve">fornecimento do </w:t>
      </w:r>
      <w:r w:rsidR="00464FE3">
        <w:rPr>
          <w:rFonts w:ascii="Cambria" w:eastAsia="Cambria" w:hAnsi="Cambria" w:cs="Cambria"/>
          <w:color w:val="000000"/>
          <w:sz w:val="24"/>
          <w:szCs w:val="24"/>
        </w:rPr>
        <w:t>serviço</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w:t>
      </w:r>
      <w:r w:rsidRPr="006C5D01">
        <w:rPr>
          <w:rFonts w:ascii="Cambria" w:eastAsia="Cambria" w:hAnsi="Cambria" w:cs="Cambria"/>
          <w:color w:val="000000"/>
          <w:sz w:val="24"/>
          <w:szCs w:val="24"/>
        </w:rPr>
        <w:lastRenderedPageBreak/>
        <w:t xml:space="preserve">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14:paraId="0119E77E" w14:textId="77777777"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14:paraId="59D26A72"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14:paraId="09956D0C" w14:textId="77777777" w:rsidR="009D0BDE" w:rsidRDefault="009D0BDE" w:rsidP="009D0BDE">
      <w:pPr>
        <w:pStyle w:val="NormalWeb"/>
      </w:pPr>
      <w:r>
        <w:t>No processo de credenciamento de instituições financeiras para o recebimento de tarifas de água do Serviço Autônomo de Água e Esgoto (SAAE) de Alvorada do Sul, o critério de julgamento geralmente baseia-se na habilitação técnica e jurídica das instituições interessadas. Diferentemente de outras modalidades licitatórias, o credenciamento não envolve competição por menor preço ou maior oferta, mas sim a verificação do atendimento aos requisitos estabelecidos no edital.</w:t>
      </w:r>
    </w:p>
    <w:p w14:paraId="3559337C" w14:textId="7076688A" w:rsidR="009D0BDE" w:rsidRDefault="009D0BDE" w:rsidP="009D0BDE">
      <w:pPr>
        <w:pStyle w:val="NormalWeb"/>
      </w:pPr>
      <w:r>
        <w:t>Os critérios comuns para habilitação incluem:</w:t>
      </w:r>
    </w:p>
    <w:p w14:paraId="3A18E09B" w14:textId="77777777" w:rsidR="009D0BDE" w:rsidRPr="009D0BDE" w:rsidRDefault="009D0BDE" w:rsidP="009D0BDE">
      <w:pPr>
        <w:pStyle w:val="NormalWeb"/>
      </w:pPr>
      <w:r w:rsidRPr="009D0BDE">
        <w:rPr>
          <w:rStyle w:val="Forte"/>
          <w:b w:val="0"/>
          <w:bCs w:val="0"/>
        </w:rPr>
        <w:t>Autorização de Funcionamento</w:t>
      </w:r>
      <w:r w:rsidRPr="009D0BDE">
        <w:t>: A instituição deve ser autorizada pelo Banco Central do Brasil a operar como banco múltiplo, comercial ou cooperativa de crédito.</w:t>
      </w:r>
    </w:p>
    <w:p w14:paraId="676D7BDD" w14:textId="77777777" w:rsidR="009D0BDE" w:rsidRPr="009D0BDE" w:rsidRDefault="009D0BDE" w:rsidP="009D0BDE">
      <w:pPr>
        <w:pStyle w:val="NormalWeb"/>
      </w:pPr>
      <w:r w:rsidRPr="009D0BDE">
        <w:rPr>
          <w:rStyle w:val="Forte"/>
          <w:b w:val="0"/>
          <w:bCs w:val="0"/>
        </w:rPr>
        <w:t>Regularidade Fiscal e Trabalhista</w:t>
      </w:r>
      <w:r w:rsidRPr="009D0BDE">
        <w:t>: Apresentação de certidões negativas de débitos fiscais e trabalhistas.</w:t>
      </w:r>
    </w:p>
    <w:p w14:paraId="6E35BA27" w14:textId="77777777" w:rsidR="009D0BDE" w:rsidRPr="009D0BDE" w:rsidRDefault="009D0BDE" w:rsidP="009D0BDE">
      <w:pPr>
        <w:pStyle w:val="NormalWeb"/>
      </w:pPr>
      <w:r w:rsidRPr="009D0BDE">
        <w:rPr>
          <w:rStyle w:val="Forte"/>
          <w:b w:val="0"/>
          <w:bCs w:val="0"/>
        </w:rPr>
        <w:t>Capacidade Técnica</w:t>
      </w:r>
      <w:r w:rsidRPr="009D0BDE">
        <w:t>: Comprovação de infraestrutura adequada para o recebimento e processamento das tarifas de água, conforme as especificações do SAAE.</w:t>
      </w:r>
    </w:p>
    <w:p w14:paraId="1E336773" w14:textId="77777777" w:rsidR="009D0BDE" w:rsidRDefault="009D0BDE" w:rsidP="009D0BDE">
      <w:pPr>
        <w:pStyle w:val="NormalWeb"/>
      </w:pPr>
      <w:r w:rsidRPr="009D0BDE">
        <w:rPr>
          <w:rStyle w:val="Forte"/>
          <w:b w:val="0"/>
          <w:bCs w:val="0"/>
        </w:rPr>
        <w:t>Conformidade Legal</w:t>
      </w:r>
      <w:r>
        <w:t>: Ausência de impedimentos legais, como processos de falência, insolvência ou declarações de inidoneidade para contratar com a administração pública.</w:t>
      </w:r>
    </w:p>
    <w:p w14:paraId="3514753A" w14:textId="77777777" w:rsidR="009D0BDE" w:rsidRDefault="009D0BDE" w:rsidP="009D0BDE">
      <w:pPr>
        <w:pStyle w:val="NormalWeb"/>
      </w:pPr>
      <w:r>
        <w:t>É importante ressaltar que, no credenciamento, todas as instituições que atendem aos requisitos estabelecidos são habilitadas a prestar o serviço, sem exclusividade. O objetivo é ampliar a rede de arrecadação, facilitando o pagamento das tarifas pelos usuários.</w:t>
      </w:r>
    </w:p>
    <w:p w14:paraId="5A802C67" w14:textId="77777777" w:rsidR="00A648E2" w:rsidRPr="006C5D01" w:rsidRDefault="00A648E2" w:rsidP="00A648E2">
      <w:pPr>
        <w:spacing w:line="360" w:lineRule="auto"/>
        <w:jc w:val="both"/>
        <w:rPr>
          <w:rFonts w:ascii="Cambria" w:eastAsia="Cambria" w:hAnsi="Cambria" w:cs="Cambria"/>
          <w:color w:val="000000"/>
          <w:sz w:val="24"/>
          <w:szCs w:val="24"/>
        </w:rPr>
      </w:pPr>
    </w:p>
    <w:p w14:paraId="02345E23"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14:paraId="2E0C1BB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w:t>
      </w:r>
      <w:r w:rsidRPr="006C5D01">
        <w:rPr>
          <w:rFonts w:ascii="Cambria" w:eastAsia="Cambria" w:hAnsi="Cambria" w:cs="Cambria"/>
          <w:color w:val="000000"/>
          <w:sz w:val="24"/>
          <w:szCs w:val="24"/>
        </w:rPr>
        <w:lastRenderedPageBreak/>
        <w:t xml:space="preserve">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14:paraId="218FFB66" w14:textId="77777777" w:rsidR="00A648E2" w:rsidRPr="006C5D01" w:rsidRDefault="00A648E2" w:rsidP="00A648E2">
      <w:pPr>
        <w:spacing w:line="360" w:lineRule="auto"/>
        <w:jc w:val="both"/>
        <w:rPr>
          <w:rFonts w:ascii="Cambria" w:eastAsia="Cambria" w:hAnsi="Cambria" w:cs="Cambria"/>
          <w:color w:val="000000"/>
          <w:sz w:val="24"/>
          <w:szCs w:val="24"/>
        </w:rPr>
      </w:pPr>
    </w:p>
    <w:p w14:paraId="2BAC4036" w14:textId="77777777" w:rsidR="00A648E2" w:rsidRDefault="00A648E2" w:rsidP="00A648E2">
      <w:pPr>
        <w:spacing w:line="360" w:lineRule="auto"/>
        <w:jc w:val="both"/>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14:paraId="0A282E63" w14:textId="77777777" w:rsidR="00921C0D" w:rsidRPr="006C5D01" w:rsidRDefault="00921C0D" w:rsidP="00921C0D">
      <w:pPr>
        <w:spacing w:line="360" w:lineRule="auto"/>
        <w:rPr>
          <w:rFonts w:ascii="Cambria" w:eastAsia="Cambria" w:hAnsi="Cambria" w:cs="Cambria"/>
          <w:color w:val="000000"/>
          <w:sz w:val="24"/>
          <w:szCs w:val="24"/>
        </w:rPr>
      </w:pPr>
    </w:p>
    <w:p w14:paraId="42884C7A"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14:paraId="0CD79EA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14:paraId="46EDA19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14:paraId="255D0E8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14:paraId="7E0395E0"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14:paraId="6A99B91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Fornecer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14:paraId="265EBE5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14:paraId="1BB8C34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14:paraId="1A296DE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Fornecer o objeto em tela rigorosamente no prazo pactuado, mediante requisição da ordem de início, cumprindo com todas as demais obrigações impostas pelo presente Termo e pela legislação aplicável.</w:t>
      </w:r>
    </w:p>
    <w:p w14:paraId="426A770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14:paraId="0965639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14:paraId="11AB8BF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14:paraId="7D24C42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14:paraId="068665C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14:paraId="6CFAAFE5" w14:textId="77777777" w:rsidR="00A648E2" w:rsidRPr="006C5D01" w:rsidRDefault="00A648E2" w:rsidP="00A648E2">
      <w:pPr>
        <w:spacing w:line="360" w:lineRule="auto"/>
        <w:jc w:val="both"/>
        <w:rPr>
          <w:rFonts w:ascii="Cambria" w:eastAsia="Cambria" w:hAnsi="Cambria" w:cs="Cambria"/>
          <w:color w:val="000000"/>
          <w:sz w:val="24"/>
          <w:szCs w:val="24"/>
        </w:rPr>
      </w:pPr>
    </w:p>
    <w:p w14:paraId="683ADE06" w14:textId="77777777"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14:paraId="35647382"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14:paraId="2137CC1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Realizar a fiscalização do fornecimento a ser prestado; </w:t>
      </w:r>
    </w:p>
    <w:p w14:paraId="749E8631"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14:paraId="008F0A34" w14:textId="779C1AF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w:t>
      </w:r>
      <w:proofErr w:type="gramStart"/>
      <w:r w:rsidRPr="006C5D01">
        <w:rPr>
          <w:rFonts w:ascii="Cambria" w:eastAsia="Cambria" w:hAnsi="Cambria" w:cs="Cambria"/>
          <w:color w:val="000000"/>
          <w:sz w:val="24"/>
          <w:szCs w:val="24"/>
        </w:rPr>
        <w:t>para  a</w:t>
      </w:r>
      <w:proofErr w:type="gramEnd"/>
      <w:r w:rsidRPr="006C5D01">
        <w:rPr>
          <w:rFonts w:ascii="Cambria" w:eastAsia="Cambria" w:hAnsi="Cambria" w:cs="Cambria"/>
          <w:color w:val="000000"/>
          <w:sz w:val="24"/>
          <w:szCs w:val="24"/>
        </w:rPr>
        <w:t xml:space="preserve">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14:paraId="0A871EDF" w14:textId="3C3BBDA0"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9D0BDE">
        <w:rPr>
          <w:rFonts w:ascii="Cambria" w:eastAsia="Cambria" w:hAnsi="Cambria" w:cs="Cambria"/>
          <w:sz w:val="24"/>
          <w:szCs w:val="24"/>
        </w:rPr>
        <w:t>21</w:t>
      </w:r>
      <w:r w:rsidR="009623E2">
        <w:rPr>
          <w:rFonts w:ascii="Cambria" w:eastAsia="Cambria" w:hAnsi="Cambria" w:cs="Cambria"/>
          <w:sz w:val="24"/>
          <w:szCs w:val="24"/>
        </w:rPr>
        <w:t xml:space="preserve"> </w:t>
      </w:r>
      <w:r w:rsidRPr="006C5D01">
        <w:rPr>
          <w:rFonts w:ascii="Cambria" w:eastAsia="Cambria" w:hAnsi="Cambria" w:cs="Cambria"/>
          <w:sz w:val="24"/>
          <w:szCs w:val="24"/>
        </w:rPr>
        <w:t>de</w:t>
      </w:r>
      <w:r>
        <w:rPr>
          <w:rFonts w:ascii="Cambria" w:eastAsia="Cambria" w:hAnsi="Cambria" w:cs="Cambria"/>
          <w:sz w:val="24"/>
          <w:szCs w:val="24"/>
        </w:rPr>
        <w:t xml:space="preserve"> </w:t>
      </w:r>
      <w:r w:rsidR="009D0BDE">
        <w:rPr>
          <w:rFonts w:ascii="Cambria" w:eastAsia="Cambria" w:hAnsi="Cambria" w:cs="Cambria"/>
          <w:sz w:val="24"/>
          <w:szCs w:val="24"/>
        </w:rPr>
        <w:t>novembro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14:paraId="7CB80A68" w14:textId="77777777" w:rsidR="00A648E2" w:rsidRPr="006C5D01" w:rsidRDefault="00A648E2" w:rsidP="00A648E2">
      <w:pPr>
        <w:spacing w:line="360" w:lineRule="auto"/>
        <w:jc w:val="right"/>
        <w:rPr>
          <w:rFonts w:ascii="Cambria" w:eastAsia="Cambria" w:hAnsi="Cambria" w:cs="Cambria"/>
          <w:sz w:val="24"/>
          <w:szCs w:val="24"/>
        </w:rPr>
      </w:pPr>
    </w:p>
    <w:p w14:paraId="3B74225E" w14:textId="77777777" w:rsidR="00A648E2" w:rsidRDefault="00A648E2" w:rsidP="00A648E2">
      <w:pPr>
        <w:spacing w:line="360" w:lineRule="auto"/>
      </w:pPr>
    </w:p>
    <w:p w14:paraId="715745A4" w14:textId="77777777"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2FC11CC7" wp14:editId="1E79C507">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14:paraId="15401CC4" w14:textId="77777777" w:rsidR="00E4350B" w:rsidRDefault="00E4350B"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2FC11CC7" id="Agrupar 2" o:spid="_x0000_s1026"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">
                <v:group id="Agrupar 3" o:spid="_x0000_s1027"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28"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5401CC4" w14:textId="77777777" w:rsidR="00E4350B" w:rsidRDefault="00E4350B" w:rsidP="00A648E2">
                          <w:pPr>
                            <w:textDirection w:val="btLr"/>
                          </w:pPr>
                        </w:p>
                      </w:txbxContent>
                    </v:textbox>
                  </v:rect>
                  <v:rect id="Retângulo 6" o:spid="_x0000_s1029"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14:paraId="3C178815" w14:textId="77777777" w:rsidR="00A648E2" w:rsidRPr="006C5D01" w:rsidRDefault="00A648E2" w:rsidP="00A648E2">
      <w:pPr>
        <w:spacing w:line="360" w:lineRule="auto"/>
        <w:rPr>
          <w:rFonts w:ascii="Calibri" w:eastAsia="Calibri" w:hAnsi="Calibri" w:cs="Calibri"/>
        </w:rPr>
      </w:pPr>
    </w:p>
    <w:p w14:paraId="6DCC6FDC" w14:textId="77777777"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40886300" wp14:editId="4B4ADF73">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14:paraId="1F2BB391" w14:textId="77777777" w:rsidR="00E4350B" w:rsidRDefault="00E4350B"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14:paraId="614FF1EF" w14:textId="77777777" w:rsidR="00E4350B" w:rsidRDefault="00E4350B"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40886300" id="Agrupar 32" o:spid="_x0000_s1031"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">
                <v:group id="Agrupar 35" o:spid="_x0000_s1032"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3"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1F2BB391" w14:textId="77777777" w:rsidR="00E4350B" w:rsidRDefault="00E4350B" w:rsidP="00A648E2">
                          <w:pPr>
                            <w:textDirection w:val="btLr"/>
                          </w:pPr>
                        </w:p>
                      </w:txbxContent>
                    </v:textbox>
                  </v:rect>
                  <v:group id="Agrupar 37" o:spid="_x0000_s1034"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5"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614FF1EF" w14:textId="77777777" w:rsidR="00E4350B" w:rsidRDefault="00E4350B" w:rsidP="00A648E2">
                            <w:pPr>
                              <w:textDirection w:val="btLr"/>
                            </w:pPr>
                          </w:p>
                        </w:txbxContent>
                      </v:textbox>
                    </v:rect>
                    <v:rect id="Retângulo 39" o:spid="_x0000_s1036"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v:textbox>
                    </v:rect>
                    <v:shape id="Conector de Seta Reta 40" o:spid="_x0000_s1037"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14:paraId="56EC29C8"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3D0BB5FF"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0551D766" w14:textId="77777777"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2F38" w14:textId="77777777" w:rsidR="001D3F44" w:rsidRDefault="001D3F44">
      <w:r>
        <w:separator/>
      </w:r>
    </w:p>
  </w:endnote>
  <w:endnote w:type="continuationSeparator" w:id="0">
    <w:p w14:paraId="7EFB1A0A" w14:textId="77777777" w:rsidR="001D3F44" w:rsidRDefault="001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467291"/>
      <w:docPartObj>
        <w:docPartGallery w:val="Page Numbers (Bottom of Page)"/>
        <w:docPartUnique/>
      </w:docPartObj>
    </w:sdtPr>
    <w:sdtEndPr/>
    <w:sdtContent>
      <w:p w14:paraId="088254D6" w14:textId="77777777" w:rsidR="00E4350B" w:rsidRDefault="00E4350B">
        <w:pPr>
          <w:pStyle w:val="Rodap"/>
          <w:jc w:val="right"/>
        </w:pPr>
        <w:r>
          <w:fldChar w:fldCharType="begin"/>
        </w:r>
        <w:r>
          <w:instrText xml:space="preserve"> PAGE   \* MERGEFORMAT </w:instrText>
        </w:r>
        <w:r>
          <w:fldChar w:fldCharType="separate"/>
        </w:r>
        <w:r w:rsidR="00D1478D">
          <w:rPr>
            <w:noProof/>
          </w:rPr>
          <w:t>20</w:t>
        </w:r>
        <w:r>
          <w:rPr>
            <w:noProof/>
          </w:rPr>
          <w:fldChar w:fldCharType="end"/>
        </w:r>
      </w:p>
    </w:sdtContent>
  </w:sdt>
  <w:p w14:paraId="0AFD3810" w14:textId="77777777" w:rsidR="00E4350B" w:rsidRDefault="00E4350B">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F050" w14:textId="77777777" w:rsidR="001D3F44" w:rsidRDefault="001D3F44">
      <w:r>
        <w:separator/>
      </w:r>
    </w:p>
  </w:footnote>
  <w:footnote w:type="continuationSeparator" w:id="0">
    <w:p w14:paraId="1CADE1FD" w14:textId="77777777" w:rsidR="001D3F44" w:rsidRDefault="001D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54E" w14:textId="77777777" w:rsidR="00E4350B" w:rsidRDefault="001D3F44">
    <w:pPr>
      <w:pStyle w:val="Cabealho"/>
      <w:framePr w:wrap="around" w:vAnchor="text" w:hAnchor="margin" w:xAlign="right" w:y="1"/>
      <w:rPr>
        <w:rStyle w:val="Nmerodepgina"/>
      </w:rPr>
    </w:pPr>
    <w:r>
      <w:rPr>
        <w:noProof/>
      </w:rPr>
      <w:pict w14:anchorId="7C7EC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1027"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end"/>
    </w:r>
  </w:p>
  <w:p w14:paraId="66C13CE6" w14:textId="77777777" w:rsidR="00E4350B" w:rsidRDefault="00E4350B">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FF9" w14:textId="77777777" w:rsidR="00E4350B" w:rsidRDefault="00E4350B">
    <w:pPr>
      <w:pStyle w:val="Cabealho"/>
      <w:framePr w:w="537" w:wrap="around" w:vAnchor="text" w:hAnchor="page" w:x="10416" w:y="-418"/>
      <w:rPr>
        <w:rStyle w:val="Nmerodepgina"/>
      </w:rPr>
    </w:pPr>
    <w:r>
      <w:rPr>
        <w:rStyle w:val="Nmerodepgina"/>
      </w:rPr>
      <w:fldChar w:fldCharType="begin"/>
    </w:r>
    <w:r>
      <w:rPr>
        <w:rStyle w:val="Nmerodepgina"/>
      </w:rPr>
      <w:instrText xml:space="preserve"> PAGE </w:instrText>
    </w:r>
    <w:r>
      <w:rPr>
        <w:rStyle w:val="Nmerodepgina"/>
      </w:rPr>
      <w:fldChar w:fldCharType="separate"/>
    </w:r>
    <w:r w:rsidR="00D1478D">
      <w:rPr>
        <w:rStyle w:val="Nmerodepgina"/>
        <w:noProof/>
      </w:rPr>
      <w:t>20</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E4350B" w14:paraId="04641894" w14:textId="77777777">
      <w:trPr>
        <w:trHeight w:val="1166"/>
      </w:trPr>
      <w:tc>
        <w:tcPr>
          <w:tcW w:w="2238" w:type="dxa"/>
          <w:tcBorders>
            <w:bottom w:val="single" w:sz="18" w:space="0" w:color="000080"/>
          </w:tcBorders>
        </w:tcPr>
        <w:p w14:paraId="6F9F61CB" w14:textId="77777777" w:rsidR="00E4350B" w:rsidRDefault="00E4350B">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14:anchorId="269AF915" wp14:editId="22526BEE">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Pr>
              <w:rFonts w:ascii="Arial Rounded MT Bold" w:hAnsi="Arial Rounded MT Bold"/>
              <w:noProof/>
            </w:rPr>
            <mc:AlternateContent>
              <mc:Choice Requires="wps">
                <w:drawing>
                  <wp:anchor distT="0" distB="0" distL="114300" distR="114300" simplePos="0" relativeHeight="251659776" behindDoc="0" locked="0" layoutInCell="1" allowOverlap="1" wp14:anchorId="4F034002" wp14:editId="4ABB6F8F">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34002" id="_x0000_t202" coordsize="21600,21600" o:spt="202" path="m,l,21600r21600,l21600,xe">
                    <v:stroke joinstyle="miter"/>
                    <v:path gradientshapeok="t" o:connecttype="rect"/>
                  </v:shapetype>
                  <v:shape id="Text Box 4" o:spid="_x0000_s1038"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" filled="f" fillcolor="#bbe0e3" stroked="f">
                    <v:textbo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14:paraId="5077ADBE" w14:textId="77777777" w:rsidR="00E4350B" w:rsidRDefault="00E4350B">
          <w:pPr>
            <w:pStyle w:val="TextosemFormatao"/>
            <w:jc w:val="center"/>
            <w:outlineLvl w:val="0"/>
            <w:rPr>
              <w:rFonts w:ascii="Arial Rounded MT Bold" w:hAnsi="Arial Rounded MT Bold"/>
            </w:rPr>
          </w:pPr>
        </w:p>
        <w:p w14:paraId="1A513BC0" w14:textId="77777777" w:rsidR="00E4350B" w:rsidRDefault="00E4350B">
          <w:pPr>
            <w:pStyle w:val="TextosemFormatao"/>
            <w:jc w:val="center"/>
            <w:outlineLvl w:val="0"/>
            <w:rPr>
              <w:rFonts w:ascii="Arial Rounded MT Bold" w:hAnsi="Arial Rounded MT Bold"/>
            </w:rPr>
          </w:pPr>
        </w:p>
        <w:p w14:paraId="396DF38A" w14:textId="77777777" w:rsidR="00E4350B" w:rsidRDefault="00E4350B">
          <w:pPr>
            <w:pStyle w:val="TextosemFormatao"/>
            <w:jc w:val="center"/>
            <w:outlineLvl w:val="0"/>
            <w:rPr>
              <w:rFonts w:ascii="Arial Rounded MT Bold" w:hAnsi="Arial Rounded MT Bold"/>
            </w:rPr>
          </w:pPr>
        </w:p>
        <w:p w14:paraId="4A24D737" w14:textId="77777777" w:rsidR="00E4350B" w:rsidRDefault="00E4350B">
          <w:pPr>
            <w:pStyle w:val="TextosemFormatao"/>
            <w:jc w:val="center"/>
            <w:outlineLvl w:val="0"/>
            <w:rPr>
              <w:rFonts w:ascii="Arial Rounded MT Bold" w:hAnsi="Arial Rounded MT Bold"/>
            </w:rPr>
          </w:pPr>
        </w:p>
        <w:p w14:paraId="026129E8" w14:textId="77777777" w:rsidR="00E4350B" w:rsidRDefault="00E4350B">
          <w:pPr>
            <w:pStyle w:val="TextosemFormatao"/>
            <w:jc w:val="center"/>
            <w:outlineLvl w:val="0"/>
            <w:rPr>
              <w:rFonts w:ascii="Arial Rounded MT Bold" w:hAnsi="Arial Rounded MT Bold"/>
            </w:rPr>
          </w:pPr>
        </w:p>
        <w:p w14:paraId="64916359" w14:textId="77777777" w:rsidR="00E4350B" w:rsidRDefault="00E4350B">
          <w:pPr>
            <w:pStyle w:val="TextosemFormatao"/>
            <w:jc w:val="center"/>
            <w:outlineLvl w:val="0"/>
            <w:rPr>
              <w:rFonts w:ascii="Arial Rounded MT Bold" w:hAnsi="Arial Rounded MT Bold"/>
            </w:rPr>
          </w:pPr>
        </w:p>
        <w:p w14:paraId="389D44C5" w14:textId="77777777" w:rsidR="00E4350B" w:rsidRDefault="00E4350B">
          <w:pPr>
            <w:pStyle w:val="TextosemFormatao"/>
            <w:jc w:val="center"/>
            <w:outlineLvl w:val="0"/>
            <w:rPr>
              <w:rFonts w:ascii="Arial Rounded MT Bold" w:hAnsi="Arial Rounded MT Bold"/>
            </w:rPr>
          </w:pPr>
        </w:p>
      </w:tc>
    </w:tr>
  </w:tbl>
  <w:p w14:paraId="0F0FA588" w14:textId="77777777" w:rsidR="00E4350B" w:rsidRDefault="00E4350B">
    <w:pPr>
      <w:pStyle w:val="Corpo"/>
    </w:pPr>
  </w:p>
  <w:p w14:paraId="664E1BFC" w14:textId="77777777" w:rsidR="00E4350B" w:rsidRDefault="00E4350B">
    <w:pPr>
      <w:pStyle w:val="Corpo"/>
    </w:pPr>
  </w:p>
  <w:p w14:paraId="5D947A9F" w14:textId="77777777" w:rsidR="00E4350B" w:rsidRDefault="00E4350B">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A8E2" w14:textId="77777777" w:rsidR="00E4350B" w:rsidRDefault="001D3F44">
    <w:pPr>
      <w:pStyle w:val="Cabealho"/>
      <w:framePr w:wrap="around" w:vAnchor="text" w:hAnchor="margin" w:xAlign="right" w:y="1"/>
      <w:rPr>
        <w:rStyle w:val="Nmerodepgina"/>
      </w:rPr>
    </w:pPr>
    <w:r>
      <w:rPr>
        <w:noProof/>
      </w:rPr>
      <w:pict w14:anchorId="13B38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1026"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separate"/>
    </w:r>
    <w:r w:rsidR="00E4350B">
      <w:rPr>
        <w:rStyle w:val="Nmerodepgina"/>
        <w:noProof/>
      </w:rPr>
      <w:t>0</w:t>
    </w:r>
    <w:r w:rsidR="00E4350B">
      <w:rPr>
        <w:rStyle w:val="Nmerodepgina"/>
      </w:rPr>
      <w:fldChar w:fldCharType="end"/>
    </w:r>
  </w:p>
  <w:p w14:paraId="7437AB42" w14:textId="77777777" w:rsidR="00E4350B" w:rsidRDefault="00E4350B">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E4350B" w14:paraId="5195CBBA" w14:textId="77777777">
      <w:trPr>
        <w:trHeight w:val="35"/>
      </w:trPr>
      <w:tc>
        <w:tcPr>
          <w:tcW w:w="2338" w:type="dxa"/>
          <w:tcBorders>
            <w:bottom w:val="single" w:sz="18" w:space="0" w:color="000080"/>
          </w:tcBorders>
        </w:tcPr>
        <w:p w14:paraId="16B1F5EB" w14:textId="77777777" w:rsidR="00E4350B" w:rsidRDefault="001D3F44">
          <w:pPr>
            <w:pStyle w:val="TextosemFormatao"/>
            <w:outlineLvl w:val="0"/>
            <w:rPr>
              <w:rFonts w:ascii="Arial Rounded MT Bold" w:hAnsi="Arial Rounded MT Bold"/>
            </w:rPr>
          </w:pPr>
          <w:r>
            <w:rPr>
              <w:noProof/>
            </w:rPr>
            <w:object w:dxaOrig="1440" w:dyaOrig="1440" w14:anchorId="69E1C499">
              <v:shape id="_x0000_s1025" type="#_x0000_t75" style="position:absolute;margin-left:2.95pt;margin-top:1.35pt;width:108pt;height:57.6pt;z-index:251655680">
                <v:imagedata r:id="rId2" o:title=""/>
              </v:shape>
              <o:OLEObject Type="Embed" ProgID="PBrush" ShapeID="_x0000_s1025" DrawAspect="Content" ObjectID="_1797770825" r:id="rId3"/>
            </w:object>
          </w:r>
        </w:p>
      </w:tc>
      <w:tc>
        <w:tcPr>
          <w:tcW w:w="7645" w:type="dxa"/>
          <w:tcBorders>
            <w:bottom w:val="single" w:sz="18" w:space="0" w:color="000080"/>
          </w:tcBorders>
        </w:tcPr>
        <w:p w14:paraId="4434046C" w14:textId="77777777" w:rsidR="00E4350B" w:rsidRDefault="00E4350B">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14:paraId="1A9A8B16" w14:textId="77777777" w:rsidR="00E4350B" w:rsidRDefault="00E4350B">
          <w:pPr>
            <w:pStyle w:val="TextosemFormatao"/>
            <w:jc w:val="center"/>
            <w:outlineLvl w:val="0"/>
            <w:rPr>
              <w:rFonts w:ascii="Arial Rounded MT Bold" w:hAnsi="Arial Rounded MT Bold"/>
              <w:sz w:val="4"/>
            </w:rPr>
          </w:pPr>
        </w:p>
        <w:p w14:paraId="35D69B64"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14:paraId="0514215A" w14:textId="77777777" w:rsidR="00E4350B" w:rsidRDefault="00E4350B">
          <w:pPr>
            <w:pStyle w:val="TextosemFormatao"/>
            <w:jc w:val="center"/>
            <w:outlineLvl w:val="0"/>
            <w:rPr>
              <w:rFonts w:ascii="Arial Rounded MT Bold" w:hAnsi="Arial Rounded MT Bold"/>
              <w:sz w:val="4"/>
            </w:rPr>
          </w:pPr>
        </w:p>
        <w:p w14:paraId="70501AE3"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14:paraId="4C246236" w14:textId="77777777" w:rsidR="00E4350B" w:rsidRDefault="00E4350B">
          <w:pPr>
            <w:pStyle w:val="TextosemFormatao"/>
            <w:jc w:val="center"/>
            <w:outlineLvl w:val="0"/>
            <w:rPr>
              <w:rFonts w:ascii="Arial Rounded MT Bold" w:hAnsi="Arial Rounded MT Bold"/>
              <w:sz w:val="4"/>
            </w:rPr>
          </w:pPr>
        </w:p>
        <w:p w14:paraId="2AD89340" w14:textId="77777777" w:rsidR="00E4350B" w:rsidRDefault="00E4350B">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14:paraId="7AB5715D" w14:textId="77777777" w:rsidR="00E4350B" w:rsidRDefault="00E4350B">
    <w:pPr>
      <w:pStyle w:val="Corpo"/>
      <w:rPr>
        <w:b w:val="0"/>
        <w:sz w:val="24"/>
      </w:rPr>
    </w:pPr>
  </w:p>
  <w:p w14:paraId="1DCAF1FA" w14:textId="77777777" w:rsidR="00E4350B" w:rsidRDefault="00E4350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80A5CE6"/>
    <w:multiLevelType w:val="multilevel"/>
    <w:tmpl w:val="7D1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9"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2"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5"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
  </w:num>
  <w:num w:numId="4">
    <w:abstractNumId w:val="14"/>
  </w:num>
  <w:num w:numId="5">
    <w:abstractNumId w:val="8"/>
  </w:num>
  <w:num w:numId="6">
    <w:abstractNumId w:val="0"/>
  </w:num>
  <w:num w:numId="7">
    <w:abstractNumId w:val="2"/>
  </w:num>
  <w:num w:numId="8">
    <w:abstractNumId w:val="7"/>
  </w:num>
  <w:num w:numId="9">
    <w:abstractNumId w:val="11"/>
  </w:num>
  <w:num w:numId="10">
    <w:abstractNumId w:val="11"/>
    <w:lvlOverride w:ilvl="0">
      <w:lvl w:ilvl="0">
        <w:start w:val="1"/>
        <w:numFmt w:val="lowerLetter"/>
        <w:lvlText w:val="%1)"/>
        <w:legacy w:legacy="1" w:legacySpace="0" w:legacyIndent="283"/>
        <w:lvlJc w:val="left"/>
        <w:pPr>
          <w:ind w:left="283" w:hanging="283"/>
        </w:pPr>
        <w:rPr>
          <w:b w:val="0"/>
          <w:i w:val="0"/>
        </w:rPr>
      </w:lvl>
    </w:lvlOverride>
  </w:num>
  <w:num w:numId="11">
    <w:abstractNumId w:val="5"/>
  </w:num>
  <w:num w:numId="12">
    <w:abstractNumId w:val="3"/>
  </w:num>
  <w:num w:numId="13">
    <w:abstractNumId w:val="12"/>
  </w:num>
  <w:num w:numId="14">
    <w:abstractNumId w:val="17"/>
  </w:num>
  <w:num w:numId="15">
    <w:abstractNumId w:val="6"/>
  </w:num>
  <w:num w:numId="16">
    <w:abstractNumId w:val="9"/>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D4"/>
    <w:rsid w:val="00003159"/>
    <w:rsid w:val="00004027"/>
    <w:rsid w:val="00005FC5"/>
    <w:rsid w:val="000064B7"/>
    <w:rsid w:val="000154DC"/>
    <w:rsid w:val="00016793"/>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3F44"/>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13D34"/>
    <w:rsid w:val="00426297"/>
    <w:rsid w:val="00430C40"/>
    <w:rsid w:val="00433B1F"/>
    <w:rsid w:val="00434C81"/>
    <w:rsid w:val="00440CA4"/>
    <w:rsid w:val="004440EB"/>
    <w:rsid w:val="004444F5"/>
    <w:rsid w:val="00445199"/>
    <w:rsid w:val="00446A29"/>
    <w:rsid w:val="00447AEE"/>
    <w:rsid w:val="004544C7"/>
    <w:rsid w:val="00455D30"/>
    <w:rsid w:val="004610E0"/>
    <w:rsid w:val="00463CCC"/>
    <w:rsid w:val="00464FE3"/>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2244"/>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129E0"/>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B3EEA"/>
    <w:rsid w:val="007C2B25"/>
    <w:rsid w:val="007D3855"/>
    <w:rsid w:val="007D7904"/>
    <w:rsid w:val="007F0BD4"/>
    <w:rsid w:val="008131E0"/>
    <w:rsid w:val="00814F9B"/>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05D29"/>
    <w:rsid w:val="0091317E"/>
    <w:rsid w:val="00921C0D"/>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0BDE"/>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1478D"/>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4350B"/>
    <w:rsid w:val="00E51AB6"/>
    <w:rsid w:val="00E52F4C"/>
    <w:rsid w:val="00E532A6"/>
    <w:rsid w:val="00E533AB"/>
    <w:rsid w:val="00E55D53"/>
    <w:rsid w:val="00E5662C"/>
    <w:rsid w:val="00E62D1A"/>
    <w:rsid w:val="00E6529E"/>
    <w:rsid w:val="00E95CB5"/>
    <w:rsid w:val="00EA246F"/>
    <w:rsid w:val="00EA3E1B"/>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8C990"/>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uiPriority w:val="22"/>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593202558">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ABC3-F682-4EC8-BDCA-68C8BFC0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103</TotalTime>
  <Pages>8</Pages>
  <Words>2041</Words>
  <Characters>11026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13041</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13</cp:revision>
  <cp:lastPrinted>2020-05-14T17:21:00Z</cp:lastPrinted>
  <dcterms:created xsi:type="dcterms:W3CDTF">2024-05-13T20:20:00Z</dcterms:created>
  <dcterms:modified xsi:type="dcterms:W3CDTF">2025-01-07T19:01:00Z</dcterms:modified>
</cp:coreProperties>
</file>